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155C9A" w:rsidRDefault="00155C9A">
      <w:pPr>
        <w:spacing w:line="0pt" w:lineRule="atLeast"/>
        <w:jc w:val="center"/>
        <w:rPr>
          <w:b/>
          <w:sz w:val="36"/>
        </w:rPr>
      </w:pPr>
      <w:bookmarkStart w:id="0" w:name="page1"/>
      <w:bookmarkEnd w:id="0"/>
      <w:r>
        <w:rPr>
          <w:b/>
          <w:sz w:val="36"/>
        </w:rPr>
        <w:t>TDS for F.Y. 2020-21 (A.Y: 2021-22)</w:t>
      </w:r>
    </w:p>
    <w:p w:rsidR="00415694" w:rsidRDefault="00415694">
      <w:pPr>
        <w:spacing w:line="0pt" w:lineRule="atLeast"/>
        <w:jc w:val="center"/>
        <w:rPr>
          <w:b/>
          <w:sz w:val="36"/>
        </w:rPr>
      </w:pPr>
    </w:p>
    <w:p w:rsidR="00DB4973" w:rsidRDefault="00DB4973" w:rsidP="00415694">
      <w:pPr>
        <w:pBdr>
          <w:bottom w:val="single" w:sz="6" w:space="0" w:color="auto"/>
        </w:pBdr>
        <w:shd w:val="clear" w:color="auto" w:fill="FFFFFF"/>
        <w:spacing w:line="18pt" w:lineRule="atLeast"/>
        <w:outlineLvl w:val="1"/>
        <w:rPr>
          <w:rFonts w:ascii="Verdana" w:eastAsia="Times New Roman" w:hAnsi="Verdana" w:cs="Times New Roman"/>
          <w:b/>
          <w:bCs/>
          <w:color w:val="FF6B6B"/>
          <w:sz w:val="23"/>
          <w:szCs w:val="23"/>
          <w:bdr w:val="none" w:sz="0" w:space="0" w:color="auto" w:frame="1"/>
        </w:rPr>
      </w:pPr>
    </w:p>
    <w:p w:rsidR="00415694" w:rsidRPr="00097FA2" w:rsidRDefault="00415694" w:rsidP="00415694">
      <w:pPr>
        <w:pBdr>
          <w:bottom w:val="single" w:sz="6" w:space="0" w:color="auto"/>
        </w:pBdr>
        <w:shd w:val="clear" w:color="auto" w:fill="FFFFFF"/>
        <w:spacing w:line="18pt" w:lineRule="atLeast"/>
        <w:outlineLvl w:val="1"/>
        <w:rPr>
          <w:rFonts w:ascii="Verdana" w:eastAsia="Times New Roman" w:hAnsi="Verdana" w:cs="Times New Roman"/>
          <w:b/>
          <w:bCs/>
          <w:sz w:val="23"/>
          <w:szCs w:val="23"/>
        </w:rPr>
      </w:pPr>
      <w:r w:rsidRPr="00097FA2">
        <w:rPr>
          <w:rFonts w:ascii="Verdana" w:eastAsia="Times New Roman" w:hAnsi="Verdana" w:cs="Times New Roman"/>
          <w:b/>
          <w:bCs/>
          <w:sz w:val="23"/>
          <w:szCs w:val="23"/>
          <w:bdr w:val="none" w:sz="0" w:space="0" w:color="auto" w:frame="1"/>
        </w:rPr>
        <w:t>Major Changes in TDS Rates Chart (F.Y.2020-21)</w:t>
      </w:r>
    </w:p>
    <w:p w:rsidR="00415694" w:rsidRPr="00415694" w:rsidRDefault="00415694" w:rsidP="00415694">
      <w:pPr>
        <w:shd w:val="clear" w:color="auto" w:fill="FFFFFF"/>
        <w:ind w:start="15pt"/>
        <w:rPr>
          <w:rFonts w:ascii="Verdana" w:eastAsia="Times New Roman" w:hAnsi="Verdana" w:cs="Times New Roman"/>
          <w:color w:val="3A3A3A"/>
          <w:sz w:val="23"/>
          <w:szCs w:val="23"/>
        </w:rPr>
      </w:pPr>
      <w:r w:rsidRPr="00415694">
        <w:rPr>
          <w:rFonts w:ascii="Verdana" w:eastAsia="Times New Roman" w:hAnsi="Verdana" w:cs="Times New Roman"/>
          <w:color w:val="3A3A3A"/>
          <w:sz w:val="23"/>
          <w:szCs w:val="23"/>
        </w:rPr>
        <w:t xml:space="preserve">Introduce Two New TDS Sections </w:t>
      </w:r>
      <w:proofErr w:type="gramStart"/>
      <w:r w:rsidRPr="00415694">
        <w:rPr>
          <w:rFonts w:ascii="Verdana" w:eastAsia="Times New Roman" w:hAnsi="Verdana" w:cs="Times New Roman"/>
          <w:color w:val="3A3A3A"/>
          <w:sz w:val="23"/>
          <w:szCs w:val="23"/>
        </w:rPr>
        <w:t>i.e.</w:t>
      </w:r>
      <w:proofErr w:type="gramEnd"/>
      <w:r w:rsidRPr="00415694">
        <w:rPr>
          <w:rFonts w:ascii="Verdana" w:eastAsia="Times New Roman" w:hAnsi="Verdana" w:cs="Times New Roman"/>
          <w:color w:val="3A3A3A"/>
          <w:sz w:val="23"/>
          <w:szCs w:val="23"/>
        </w:rPr>
        <w:t xml:space="preserve"> Section 194K and Section 194O for Mutual Funds Income and E-Commerce Transactions.</w:t>
      </w:r>
    </w:p>
    <w:p w:rsidR="00415694" w:rsidRDefault="00415694" w:rsidP="00415694">
      <w:pPr>
        <w:shd w:val="clear" w:color="auto" w:fill="FFFFFF"/>
        <w:ind w:start="15pt"/>
        <w:rPr>
          <w:rFonts w:ascii="Verdana" w:eastAsia="Times New Roman" w:hAnsi="Verdana" w:cs="Times New Roman"/>
          <w:color w:val="3A3A3A"/>
          <w:sz w:val="23"/>
          <w:szCs w:val="23"/>
        </w:rPr>
      </w:pPr>
      <w:r w:rsidRPr="00415694">
        <w:rPr>
          <w:rFonts w:ascii="Verdana" w:eastAsia="Times New Roman" w:hAnsi="Verdana" w:cs="Times New Roman"/>
          <w:color w:val="3A3A3A"/>
          <w:sz w:val="23"/>
          <w:szCs w:val="23"/>
        </w:rPr>
        <w:t>Changes in existing section 194J for technical services – Reduced to 2% from current 10%</w:t>
      </w:r>
    </w:p>
    <w:p w:rsidR="00415694" w:rsidRDefault="00415694" w:rsidP="00415694">
      <w:pPr>
        <w:shd w:val="clear" w:color="auto" w:fill="FFFFFF"/>
        <w:ind w:start="15pt"/>
        <w:rPr>
          <w:rFonts w:ascii="Verdana" w:eastAsia="Times New Roman" w:hAnsi="Verdana" w:cs="Times New Roman"/>
          <w:color w:val="3A3A3A"/>
          <w:sz w:val="23"/>
          <w:szCs w:val="23"/>
        </w:rPr>
      </w:pPr>
    </w:p>
    <w:p w:rsidR="00DB4973" w:rsidRDefault="00DB4973" w:rsidP="00415694">
      <w:pPr>
        <w:pStyle w:val="Heading2"/>
        <w:pBdr>
          <w:bottom w:val="single" w:sz="6" w:space="0" w:color="auto"/>
        </w:pBdr>
        <w:shd w:val="clear" w:color="auto" w:fill="FFFFFF"/>
        <w:spacing w:before="0pt" w:beforeAutospacing="0" w:after="0pt" w:afterAutospacing="0" w:line="18pt" w:lineRule="atLeast"/>
        <w:jc w:val="both"/>
        <w:rPr>
          <w:rStyle w:val="Strong"/>
          <w:rFonts w:ascii="Verdana" w:hAnsi="Verdana"/>
          <w:b/>
          <w:bCs/>
          <w:color w:val="FF6B6B"/>
          <w:sz w:val="23"/>
          <w:szCs w:val="23"/>
          <w:bdr w:val="none" w:sz="0" w:space="0" w:color="auto" w:frame="1"/>
        </w:rPr>
      </w:pPr>
    </w:p>
    <w:p w:rsidR="00DB4973" w:rsidRDefault="00DB4973" w:rsidP="00415694">
      <w:pPr>
        <w:pStyle w:val="Heading2"/>
        <w:pBdr>
          <w:bottom w:val="single" w:sz="6" w:space="0" w:color="auto"/>
        </w:pBdr>
        <w:shd w:val="clear" w:color="auto" w:fill="FFFFFF"/>
        <w:spacing w:before="0pt" w:beforeAutospacing="0" w:after="0pt" w:afterAutospacing="0" w:line="18pt" w:lineRule="atLeast"/>
        <w:jc w:val="both"/>
        <w:rPr>
          <w:rStyle w:val="Strong"/>
          <w:rFonts w:ascii="Verdana" w:hAnsi="Verdana"/>
          <w:b/>
          <w:bCs/>
          <w:color w:val="FF6B6B"/>
          <w:sz w:val="23"/>
          <w:szCs w:val="23"/>
          <w:bdr w:val="none" w:sz="0" w:space="0" w:color="auto" w:frame="1"/>
        </w:rPr>
      </w:pPr>
    </w:p>
    <w:p w:rsidR="00415694" w:rsidRPr="00097FA2" w:rsidRDefault="00415694" w:rsidP="00415694">
      <w:pPr>
        <w:pStyle w:val="Heading2"/>
        <w:pBdr>
          <w:bottom w:val="single" w:sz="6" w:space="0" w:color="auto"/>
        </w:pBdr>
        <w:shd w:val="clear" w:color="auto" w:fill="FFFFFF"/>
        <w:spacing w:before="0pt" w:beforeAutospacing="0" w:after="0pt" w:afterAutospacing="0" w:line="18pt" w:lineRule="atLeast"/>
        <w:jc w:val="both"/>
        <w:rPr>
          <w:rFonts w:ascii="Verdana" w:hAnsi="Verdana"/>
          <w:sz w:val="23"/>
          <w:szCs w:val="23"/>
        </w:rPr>
      </w:pPr>
      <w:r w:rsidRPr="00097FA2">
        <w:rPr>
          <w:rStyle w:val="Strong"/>
          <w:rFonts w:ascii="Verdana" w:hAnsi="Verdana"/>
          <w:b/>
          <w:bCs/>
          <w:sz w:val="23"/>
          <w:szCs w:val="23"/>
          <w:bdr w:val="none" w:sz="0" w:space="0" w:color="auto" w:frame="1"/>
        </w:rPr>
        <w:t xml:space="preserve">Due Dates for Deposit TDS to </w:t>
      </w:r>
      <w:proofErr w:type="spellStart"/>
      <w:r w:rsidRPr="00097FA2">
        <w:rPr>
          <w:rStyle w:val="Strong"/>
          <w:rFonts w:ascii="Verdana" w:hAnsi="Verdana"/>
          <w:b/>
          <w:bCs/>
          <w:sz w:val="23"/>
          <w:szCs w:val="23"/>
          <w:bdr w:val="none" w:sz="0" w:space="0" w:color="auto" w:frame="1"/>
        </w:rPr>
        <w:t>Govt</w:t>
      </w:r>
      <w:proofErr w:type="spellEnd"/>
      <w:r w:rsidRPr="00097FA2">
        <w:rPr>
          <w:rStyle w:val="Strong"/>
          <w:rFonts w:ascii="Verdana" w:hAnsi="Verdana"/>
          <w:b/>
          <w:bCs/>
          <w:sz w:val="23"/>
          <w:szCs w:val="23"/>
          <w:bdr w:val="none" w:sz="0" w:space="0" w:color="auto" w:frame="1"/>
        </w:rPr>
        <w:t> </w:t>
      </w:r>
    </w:p>
    <w:p w:rsidR="00415694" w:rsidRDefault="00415694" w:rsidP="00415694">
      <w:pPr>
        <w:shd w:val="clear" w:color="auto" w:fill="FFFFFF"/>
        <w:ind w:start="15pt"/>
        <w:jc w:val="both"/>
        <w:rPr>
          <w:rFonts w:ascii="Verdana" w:hAnsi="Verdana"/>
          <w:color w:val="3A3A3A"/>
          <w:sz w:val="23"/>
          <w:szCs w:val="23"/>
        </w:rPr>
      </w:pPr>
      <w:r>
        <w:rPr>
          <w:rFonts w:ascii="Verdana" w:hAnsi="Verdana"/>
          <w:color w:val="3A3A3A"/>
          <w:sz w:val="23"/>
          <w:szCs w:val="23"/>
        </w:rPr>
        <w:t>7th of subsequent month</w:t>
      </w:r>
    </w:p>
    <w:p w:rsidR="00415694" w:rsidRDefault="00415694" w:rsidP="00415694">
      <w:pPr>
        <w:shd w:val="clear" w:color="auto" w:fill="FFFFFF"/>
        <w:ind w:start="15pt"/>
        <w:jc w:val="both"/>
        <w:rPr>
          <w:rFonts w:ascii="Verdana" w:hAnsi="Verdana"/>
          <w:color w:val="3A3A3A"/>
          <w:sz w:val="23"/>
          <w:szCs w:val="23"/>
        </w:rPr>
      </w:pPr>
      <w:r>
        <w:rPr>
          <w:rFonts w:ascii="Verdana" w:hAnsi="Verdana"/>
          <w:color w:val="3A3A3A"/>
          <w:sz w:val="23"/>
          <w:szCs w:val="23"/>
        </w:rPr>
        <w:t>For the month of march – 30th April</w:t>
      </w:r>
    </w:p>
    <w:p w:rsidR="00415694" w:rsidRDefault="00415694" w:rsidP="00415694">
      <w:pPr>
        <w:shd w:val="clear" w:color="auto" w:fill="FFFFFF"/>
        <w:ind w:start="15pt"/>
        <w:jc w:val="both"/>
        <w:rPr>
          <w:rFonts w:ascii="Verdana" w:hAnsi="Verdana"/>
          <w:color w:val="3A3A3A"/>
          <w:sz w:val="23"/>
          <w:szCs w:val="23"/>
        </w:rPr>
      </w:pPr>
      <w:r>
        <w:rPr>
          <w:rFonts w:ascii="Verdana" w:hAnsi="Verdana"/>
          <w:color w:val="3A3A3A"/>
          <w:sz w:val="23"/>
          <w:szCs w:val="23"/>
        </w:rPr>
        <w:t>For Rent and Purchase of Property – 30 days from the end of the month in which TDS is deducted</w:t>
      </w:r>
    </w:p>
    <w:p w:rsidR="00415694" w:rsidRDefault="00415694" w:rsidP="00415694">
      <w:pPr>
        <w:shd w:val="clear" w:color="auto" w:fill="FFFFFF"/>
        <w:ind w:start="15pt"/>
        <w:jc w:val="both"/>
        <w:rPr>
          <w:rStyle w:val="Strong"/>
          <w:rFonts w:ascii="Verdana" w:hAnsi="Verdana"/>
          <w:color w:val="3A3A3A"/>
          <w:sz w:val="23"/>
          <w:szCs w:val="23"/>
          <w:bdr w:val="none" w:sz="0" w:space="0" w:color="auto" w:frame="1"/>
        </w:rPr>
      </w:pPr>
    </w:p>
    <w:p w:rsidR="00DB4973" w:rsidRDefault="00DB4973" w:rsidP="00415694">
      <w:pPr>
        <w:shd w:val="clear" w:color="auto" w:fill="FFFFFF"/>
        <w:ind w:start="15pt"/>
        <w:jc w:val="both"/>
        <w:rPr>
          <w:rStyle w:val="Strong"/>
          <w:rFonts w:ascii="Verdana" w:hAnsi="Verdana"/>
          <w:color w:val="3A3A3A"/>
          <w:sz w:val="23"/>
          <w:szCs w:val="23"/>
          <w:bdr w:val="none" w:sz="0" w:space="0" w:color="auto" w:frame="1"/>
        </w:rPr>
      </w:pPr>
    </w:p>
    <w:p w:rsidR="00DB4973" w:rsidRDefault="00DB4973" w:rsidP="00415694">
      <w:pPr>
        <w:shd w:val="clear" w:color="auto" w:fill="FFFFFF"/>
        <w:ind w:start="15pt"/>
        <w:jc w:val="both"/>
        <w:rPr>
          <w:rStyle w:val="Strong"/>
          <w:rFonts w:ascii="Verdana" w:hAnsi="Verdana"/>
          <w:color w:val="3A3A3A"/>
          <w:sz w:val="23"/>
          <w:szCs w:val="23"/>
          <w:bdr w:val="none" w:sz="0" w:space="0" w:color="auto" w:frame="1"/>
        </w:rPr>
      </w:pPr>
    </w:p>
    <w:p w:rsidR="00415694" w:rsidRDefault="00415694" w:rsidP="00415694">
      <w:pPr>
        <w:shd w:val="clear" w:color="auto" w:fill="FFFFFF"/>
        <w:ind w:start="15pt"/>
        <w:jc w:val="both"/>
        <w:rPr>
          <w:rFonts w:ascii="Verdana" w:hAnsi="Verdana"/>
          <w:color w:val="3A3A3A"/>
          <w:sz w:val="23"/>
          <w:szCs w:val="23"/>
        </w:rPr>
      </w:pPr>
      <w:r>
        <w:rPr>
          <w:rStyle w:val="Strong"/>
          <w:rFonts w:ascii="Verdana" w:hAnsi="Verdana"/>
          <w:color w:val="3A3A3A"/>
          <w:sz w:val="23"/>
          <w:szCs w:val="23"/>
          <w:bdr w:val="none" w:sz="0" w:space="0" w:color="auto" w:frame="1"/>
        </w:rPr>
        <w:t>TDS Return Due Dates</w:t>
      </w:r>
    </w:p>
    <w:p w:rsidR="00415694" w:rsidRDefault="00415694" w:rsidP="00415694">
      <w:pPr>
        <w:pStyle w:val="NormalWeb"/>
        <w:shd w:val="clear" w:color="auto" w:fill="FFFFFF"/>
        <w:spacing w:before="0pt" w:beforeAutospacing="0" w:after="3.75pt" w:afterAutospacing="0"/>
        <w:jc w:val="both"/>
        <w:rPr>
          <w:rFonts w:ascii="Verdana" w:hAnsi="Verdana"/>
          <w:color w:val="3A3A3A"/>
          <w:sz w:val="23"/>
          <w:szCs w:val="23"/>
        </w:rPr>
      </w:pPr>
    </w:p>
    <w:tbl>
      <w:tblPr>
        <w:tblW w:w="419.10pt" w:type="dxa"/>
        <w:tblInd w:w="6.40pt" w:type="dxa"/>
        <w:tblBorders>
          <w:top w:val="single" w:sz="6" w:space="0" w:color="auto"/>
          <w:start w:val="single" w:sz="6" w:space="0" w:color="auto"/>
          <w:bottom w:val="single" w:sz="2" w:space="0" w:color="auto"/>
          <w:end w:val="single" w:sz="2" w:space="0" w:color="auto"/>
        </w:tblBorders>
        <w:shd w:val="clear" w:color="auto" w:fill="FFFFFF"/>
        <w:tblCellMar>
          <w:top w:w="0pt" w:type="dxa"/>
          <w:start w:w="0pt" w:type="dxa"/>
          <w:bottom w:w="0pt" w:type="dxa"/>
          <w:end w:w="0pt" w:type="dxa"/>
        </w:tblCellMar>
        <w:tblLook w:firstRow="1" w:lastRow="0" w:firstColumn="1" w:lastColumn="0" w:noHBand="0" w:noVBand="1"/>
      </w:tblPr>
      <w:tblGrid>
        <w:gridCol w:w="2794"/>
        <w:gridCol w:w="2794"/>
        <w:gridCol w:w="1308"/>
        <w:gridCol w:w="1486"/>
      </w:tblGrid>
      <w:tr w:rsidR="00415694" w:rsidTr="00415694">
        <w:tblPrEx>
          <w:tblCellMar>
            <w:top w:w="0pt" w:type="dxa"/>
            <w:bottom w:w="0pt" w:type="dxa"/>
          </w:tblCellMar>
        </w:tblPrEx>
        <w:trPr>
          <w:tblHeader/>
        </w:trPr>
        <w:tc>
          <w:tcPr>
            <w:tcW w:w="126.90pt" w:type="dxa"/>
            <w:shd w:val="clear" w:color="auto" w:fill="FCFACF"/>
            <w:tcMar>
              <w:top w:w="0pt" w:type="dxa"/>
              <w:start w:w="6pt" w:type="dxa"/>
              <w:bottom w:w="0pt" w:type="dxa"/>
              <w:end w:w="6pt" w:type="dxa"/>
            </w:tcMar>
            <w:vAlign w:val="center"/>
            <w:hideMark/>
          </w:tcPr>
          <w:p w:rsidR="00415694" w:rsidRDefault="00415694">
            <w:pPr>
              <w:rPr>
                <w:rFonts w:ascii="Verdana" w:hAnsi="Verdana"/>
                <w:b/>
                <w:bCs/>
                <w:color w:val="3A3A3A"/>
              </w:rPr>
            </w:pPr>
            <w:r>
              <w:rPr>
                <w:rStyle w:val="Strong"/>
                <w:rFonts w:ascii="Verdana" w:hAnsi="Verdana"/>
                <w:color w:val="3A3A3A"/>
                <w:bdr w:val="none" w:sz="0" w:space="0" w:color="auto" w:frame="1"/>
              </w:rPr>
              <w:t>Form No.</w:t>
            </w:r>
          </w:p>
        </w:tc>
        <w:tc>
          <w:tcPr>
            <w:tcW w:w="126.90pt" w:type="dxa"/>
            <w:shd w:val="clear" w:color="auto" w:fill="FCFACF"/>
            <w:tcMar>
              <w:top w:w="0pt" w:type="dxa"/>
              <w:start w:w="6pt" w:type="dxa"/>
              <w:bottom w:w="0pt" w:type="dxa"/>
              <w:end w:w="6pt" w:type="dxa"/>
            </w:tcMar>
            <w:vAlign w:val="center"/>
            <w:hideMark/>
          </w:tcPr>
          <w:p w:rsidR="00415694" w:rsidRDefault="00415694">
            <w:pPr>
              <w:rPr>
                <w:rFonts w:ascii="Verdana" w:hAnsi="Verdana"/>
                <w:b/>
                <w:bCs/>
                <w:color w:val="3A3A3A"/>
              </w:rPr>
            </w:pPr>
            <w:r>
              <w:rPr>
                <w:rStyle w:val="Strong"/>
                <w:rFonts w:ascii="Verdana" w:hAnsi="Verdana"/>
                <w:color w:val="3A3A3A"/>
                <w:bdr w:val="none" w:sz="0" w:space="0" w:color="auto" w:frame="1"/>
              </w:rPr>
              <w:t>Transactions </w:t>
            </w:r>
          </w:p>
        </w:tc>
        <w:tc>
          <w:tcPr>
            <w:tcW w:w="57pt" w:type="dxa"/>
            <w:shd w:val="clear" w:color="auto" w:fill="FCFACF"/>
            <w:tcMar>
              <w:top w:w="0pt" w:type="dxa"/>
              <w:start w:w="6pt" w:type="dxa"/>
              <w:bottom w:w="0pt" w:type="dxa"/>
              <w:end w:w="6pt" w:type="dxa"/>
            </w:tcMar>
            <w:vAlign w:val="center"/>
            <w:hideMark/>
          </w:tcPr>
          <w:p w:rsidR="00415694" w:rsidRDefault="00415694">
            <w:pPr>
              <w:rPr>
                <w:rFonts w:ascii="Verdana" w:hAnsi="Verdana"/>
                <w:b/>
                <w:bCs/>
                <w:color w:val="3A3A3A"/>
              </w:rPr>
            </w:pPr>
            <w:r>
              <w:rPr>
                <w:rStyle w:val="Strong"/>
                <w:rFonts w:ascii="Verdana" w:hAnsi="Verdana"/>
                <w:color w:val="3A3A3A"/>
                <w:bdr w:val="none" w:sz="0" w:space="0" w:color="auto" w:frame="1"/>
              </w:rPr>
              <w:t>Period</w:t>
            </w:r>
          </w:p>
        </w:tc>
        <w:tc>
          <w:tcPr>
            <w:tcW w:w="57.30pt" w:type="dxa"/>
            <w:shd w:val="clear" w:color="auto" w:fill="FCFACF"/>
            <w:tcMar>
              <w:top w:w="0pt" w:type="dxa"/>
              <w:start w:w="6pt" w:type="dxa"/>
              <w:bottom w:w="0pt" w:type="dxa"/>
              <w:end w:w="6pt" w:type="dxa"/>
            </w:tcMar>
            <w:vAlign w:val="center"/>
            <w:hideMark/>
          </w:tcPr>
          <w:p w:rsidR="00415694" w:rsidRDefault="00415694">
            <w:pPr>
              <w:rPr>
                <w:rFonts w:ascii="Verdana" w:hAnsi="Verdana"/>
                <w:b/>
                <w:bCs/>
                <w:color w:val="3A3A3A"/>
              </w:rPr>
            </w:pPr>
            <w:r>
              <w:rPr>
                <w:rStyle w:val="Strong"/>
                <w:rFonts w:ascii="Verdana" w:hAnsi="Verdana"/>
                <w:color w:val="3A3A3A"/>
                <w:bdr w:val="none" w:sz="0" w:space="0" w:color="auto" w:frame="1"/>
              </w:rPr>
              <w:t>Due Dates</w:t>
            </w:r>
          </w:p>
        </w:tc>
      </w:tr>
      <w:tr w:rsidR="00415694" w:rsidTr="00415694">
        <w:tblPrEx>
          <w:tblCellMar>
            <w:top w:w="0pt" w:type="dxa"/>
            <w:bottom w:w="0pt" w:type="dxa"/>
          </w:tblCellMar>
        </w:tblPrEx>
        <w:tc>
          <w:tcPr>
            <w:tcW w:w="131.4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Default="00415694">
            <w:pPr>
              <w:rPr>
                <w:rFonts w:ascii="Verdana" w:hAnsi="Verdana"/>
                <w:color w:val="3A3A3A"/>
              </w:rPr>
            </w:pPr>
            <w:r>
              <w:rPr>
                <w:rFonts w:ascii="Verdana" w:hAnsi="Verdana"/>
                <w:color w:val="3A3A3A"/>
              </w:rPr>
              <w:t>Form 26Q</w:t>
            </w:r>
          </w:p>
        </w:tc>
        <w:tc>
          <w:tcPr>
            <w:tcW w:w="131.4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Default="00415694">
            <w:pPr>
              <w:rPr>
                <w:rFonts w:ascii="Verdana" w:hAnsi="Verdana"/>
                <w:color w:val="3A3A3A"/>
              </w:rPr>
            </w:pPr>
            <w:r>
              <w:rPr>
                <w:rFonts w:ascii="Verdana" w:hAnsi="Verdana"/>
                <w:color w:val="3A3A3A"/>
              </w:rPr>
              <w:t>TDS on all payment except salaries</w:t>
            </w:r>
          </w:p>
        </w:tc>
        <w:tc>
          <w:tcPr>
            <w:tcW w:w="61.5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Default="00415694">
            <w:pPr>
              <w:rPr>
                <w:rFonts w:ascii="Verdana" w:hAnsi="Verdana"/>
                <w:color w:val="3A3A3A"/>
              </w:rPr>
            </w:pPr>
            <w:r>
              <w:rPr>
                <w:rFonts w:ascii="Verdana" w:hAnsi="Verdana"/>
                <w:color w:val="3A3A3A"/>
              </w:rPr>
              <w:t>Q1</w:t>
            </w:r>
            <w:r>
              <w:rPr>
                <w:rFonts w:ascii="Verdana" w:hAnsi="Verdana"/>
                <w:color w:val="3A3A3A"/>
              </w:rPr>
              <w:br/>
              <w:t>Q2</w:t>
            </w:r>
            <w:r>
              <w:rPr>
                <w:rFonts w:ascii="Verdana" w:hAnsi="Verdana"/>
                <w:color w:val="3A3A3A"/>
              </w:rPr>
              <w:br/>
              <w:t>Q3</w:t>
            </w:r>
            <w:r>
              <w:rPr>
                <w:rFonts w:ascii="Verdana" w:hAnsi="Verdana"/>
                <w:color w:val="3A3A3A"/>
              </w:rPr>
              <w:br/>
              <w:t>Q4</w:t>
            </w:r>
          </w:p>
        </w:tc>
        <w:tc>
          <w:tcPr>
            <w:tcW w:w="61.8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Default="00415694">
            <w:pPr>
              <w:rPr>
                <w:rFonts w:ascii="Verdana" w:hAnsi="Verdana"/>
                <w:color w:val="3A3A3A"/>
              </w:rPr>
            </w:pPr>
            <w:r>
              <w:rPr>
                <w:rFonts w:ascii="Verdana" w:hAnsi="Verdana"/>
                <w:color w:val="3A3A3A"/>
              </w:rPr>
              <w:t>31st July</w:t>
            </w:r>
            <w:r>
              <w:rPr>
                <w:rFonts w:ascii="Verdana" w:hAnsi="Verdana"/>
                <w:color w:val="3A3A3A"/>
              </w:rPr>
              <w:br/>
              <w:t>31st October</w:t>
            </w:r>
            <w:r>
              <w:rPr>
                <w:rFonts w:ascii="Verdana" w:hAnsi="Verdana"/>
                <w:color w:val="3A3A3A"/>
              </w:rPr>
              <w:br/>
              <w:t>31st January</w:t>
            </w:r>
            <w:r>
              <w:rPr>
                <w:rFonts w:ascii="Verdana" w:hAnsi="Verdana"/>
                <w:color w:val="3A3A3A"/>
              </w:rPr>
              <w:br/>
              <w:t>31st May</w:t>
            </w:r>
          </w:p>
        </w:tc>
      </w:tr>
      <w:tr w:rsidR="00415694" w:rsidTr="00415694">
        <w:tblPrEx>
          <w:tblCellMar>
            <w:top w:w="0pt" w:type="dxa"/>
            <w:bottom w:w="0pt" w:type="dxa"/>
          </w:tblCellMar>
        </w:tblPrEx>
        <w:tc>
          <w:tcPr>
            <w:tcW w:w="131.4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Default="00415694">
            <w:pPr>
              <w:rPr>
                <w:rFonts w:ascii="Verdana" w:hAnsi="Verdana"/>
                <w:color w:val="3A3A3A"/>
              </w:rPr>
            </w:pPr>
            <w:r>
              <w:rPr>
                <w:rFonts w:ascii="Verdana" w:hAnsi="Verdana"/>
                <w:color w:val="3A3A3A"/>
              </w:rPr>
              <w:t>Form 24Q</w:t>
            </w:r>
          </w:p>
        </w:tc>
        <w:tc>
          <w:tcPr>
            <w:tcW w:w="131.4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Default="00415694">
            <w:pPr>
              <w:rPr>
                <w:rFonts w:ascii="Verdana" w:hAnsi="Verdana"/>
                <w:color w:val="3A3A3A"/>
              </w:rPr>
            </w:pPr>
            <w:r>
              <w:rPr>
                <w:rFonts w:ascii="Verdana" w:hAnsi="Verdana"/>
                <w:color w:val="3A3A3A"/>
              </w:rPr>
              <w:t>TDS on Salary</w:t>
            </w:r>
          </w:p>
        </w:tc>
        <w:tc>
          <w:tcPr>
            <w:tcW w:w="61.5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Default="00415694">
            <w:pPr>
              <w:rPr>
                <w:rFonts w:ascii="Verdana" w:hAnsi="Verdana"/>
                <w:color w:val="3A3A3A"/>
              </w:rPr>
            </w:pPr>
            <w:r>
              <w:rPr>
                <w:rFonts w:ascii="Verdana" w:hAnsi="Verdana"/>
                <w:color w:val="3A3A3A"/>
              </w:rPr>
              <w:t>Q1</w:t>
            </w:r>
            <w:r>
              <w:rPr>
                <w:rFonts w:ascii="Verdana" w:hAnsi="Verdana"/>
                <w:color w:val="3A3A3A"/>
              </w:rPr>
              <w:br/>
              <w:t>Q2</w:t>
            </w:r>
            <w:r>
              <w:rPr>
                <w:rFonts w:ascii="Verdana" w:hAnsi="Verdana"/>
                <w:color w:val="3A3A3A"/>
              </w:rPr>
              <w:br/>
              <w:t>Q3</w:t>
            </w:r>
            <w:r>
              <w:rPr>
                <w:rFonts w:ascii="Verdana" w:hAnsi="Verdana"/>
                <w:color w:val="3A3A3A"/>
              </w:rPr>
              <w:br/>
              <w:t>Q4</w:t>
            </w:r>
          </w:p>
        </w:tc>
        <w:tc>
          <w:tcPr>
            <w:tcW w:w="61.8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Default="00415694">
            <w:pPr>
              <w:rPr>
                <w:rFonts w:ascii="Verdana" w:hAnsi="Verdana"/>
                <w:color w:val="3A3A3A"/>
              </w:rPr>
            </w:pPr>
            <w:r>
              <w:rPr>
                <w:rFonts w:ascii="Verdana" w:hAnsi="Verdana"/>
                <w:color w:val="3A3A3A"/>
              </w:rPr>
              <w:t>31st July</w:t>
            </w:r>
            <w:r>
              <w:rPr>
                <w:rFonts w:ascii="Verdana" w:hAnsi="Verdana"/>
                <w:color w:val="3A3A3A"/>
              </w:rPr>
              <w:br/>
              <w:t>31st October</w:t>
            </w:r>
            <w:r>
              <w:rPr>
                <w:rFonts w:ascii="Verdana" w:hAnsi="Verdana"/>
                <w:color w:val="3A3A3A"/>
              </w:rPr>
              <w:br/>
              <w:t>31st January</w:t>
            </w:r>
            <w:r>
              <w:rPr>
                <w:rFonts w:ascii="Verdana" w:hAnsi="Verdana"/>
                <w:color w:val="3A3A3A"/>
              </w:rPr>
              <w:br/>
              <w:t>31st May</w:t>
            </w:r>
          </w:p>
        </w:tc>
      </w:tr>
      <w:tr w:rsidR="00415694" w:rsidTr="00415694">
        <w:tblPrEx>
          <w:tblCellMar>
            <w:top w:w="0pt" w:type="dxa"/>
            <w:bottom w:w="0pt" w:type="dxa"/>
          </w:tblCellMar>
        </w:tblPrEx>
        <w:tc>
          <w:tcPr>
            <w:tcW w:w="131.4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Default="00415694">
            <w:pPr>
              <w:rPr>
                <w:rFonts w:ascii="Verdana" w:hAnsi="Verdana"/>
                <w:color w:val="3A3A3A"/>
              </w:rPr>
            </w:pPr>
            <w:r>
              <w:rPr>
                <w:rFonts w:ascii="Verdana" w:hAnsi="Verdana"/>
                <w:color w:val="3A3A3A"/>
              </w:rPr>
              <w:t>Form 26QB</w:t>
            </w:r>
          </w:p>
        </w:tc>
        <w:tc>
          <w:tcPr>
            <w:tcW w:w="131.4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Default="00415694">
            <w:pPr>
              <w:rPr>
                <w:rFonts w:ascii="Verdana" w:hAnsi="Verdana"/>
                <w:color w:val="3A3A3A"/>
              </w:rPr>
            </w:pPr>
            <w:r>
              <w:rPr>
                <w:rFonts w:ascii="Verdana" w:hAnsi="Verdana"/>
                <w:color w:val="3A3A3A"/>
              </w:rPr>
              <w:t>TDS on Sale of Property</w:t>
            </w:r>
          </w:p>
        </w:tc>
        <w:tc>
          <w:tcPr>
            <w:tcW w:w="131.40pt" w:type="dxa"/>
            <w:gridSpan w:val="2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Default="00415694">
            <w:pPr>
              <w:rPr>
                <w:rFonts w:ascii="Verdana" w:hAnsi="Verdana"/>
                <w:color w:val="3A3A3A"/>
              </w:rPr>
            </w:pPr>
            <w:r>
              <w:rPr>
                <w:rFonts w:ascii="Verdana" w:hAnsi="Verdana"/>
                <w:color w:val="3A3A3A"/>
              </w:rPr>
              <w:t>30 days from the end of the month in which TDS is deducted</w:t>
            </w:r>
          </w:p>
        </w:tc>
      </w:tr>
      <w:tr w:rsidR="00415694" w:rsidTr="00415694">
        <w:tblPrEx>
          <w:tblCellMar>
            <w:top w:w="0pt" w:type="dxa"/>
            <w:bottom w:w="0pt" w:type="dxa"/>
          </w:tblCellMar>
        </w:tblPrEx>
        <w:tc>
          <w:tcPr>
            <w:tcW w:w="131.4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Default="00415694">
            <w:pPr>
              <w:rPr>
                <w:rFonts w:ascii="Verdana" w:hAnsi="Verdana"/>
                <w:color w:val="3A3A3A"/>
              </w:rPr>
            </w:pPr>
            <w:r>
              <w:rPr>
                <w:rFonts w:ascii="Verdana" w:hAnsi="Verdana"/>
                <w:color w:val="3A3A3A"/>
              </w:rPr>
              <w:t>Form 26QC</w:t>
            </w:r>
          </w:p>
        </w:tc>
        <w:tc>
          <w:tcPr>
            <w:tcW w:w="131.4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Default="00415694">
            <w:pPr>
              <w:rPr>
                <w:rFonts w:ascii="Verdana" w:hAnsi="Verdana"/>
                <w:color w:val="3A3A3A"/>
              </w:rPr>
            </w:pPr>
            <w:r>
              <w:rPr>
                <w:rFonts w:ascii="Verdana" w:hAnsi="Verdana"/>
                <w:color w:val="3A3A3A"/>
              </w:rPr>
              <w:t>TDS on Rent</w:t>
            </w:r>
          </w:p>
        </w:tc>
        <w:tc>
          <w:tcPr>
            <w:tcW w:w="131.40pt" w:type="dxa"/>
            <w:gridSpan w:val="2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Default="00415694">
            <w:pPr>
              <w:rPr>
                <w:rFonts w:ascii="Verdana" w:hAnsi="Verdana"/>
                <w:color w:val="3A3A3A"/>
              </w:rPr>
            </w:pPr>
            <w:r>
              <w:rPr>
                <w:rFonts w:ascii="Verdana" w:hAnsi="Verdana"/>
                <w:color w:val="3A3A3A"/>
              </w:rPr>
              <w:t>30 days from the end of the month in which TDS is deducted</w:t>
            </w:r>
          </w:p>
        </w:tc>
      </w:tr>
    </w:tbl>
    <w:p w:rsidR="00415694" w:rsidRPr="00415694" w:rsidRDefault="00415694" w:rsidP="00415694">
      <w:pPr>
        <w:shd w:val="clear" w:color="auto" w:fill="FFFFFF"/>
        <w:ind w:start="15pt"/>
        <w:rPr>
          <w:rFonts w:ascii="Verdana" w:eastAsia="Times New Roman" w:hAnsi="Verdana" w:cs="Times New Roman"/>
          <w:color w:val="3A3A3A"/>
          <w:sz w:val="23"/>
          <w:szCs w:val="23"/>
        </w:rPr>
      </w:pPr>
    </w:p>
    <w:p w:rsidR="00DB4973" w:rsidRDefault="00DB4973" w:rsidP="00415694">
      <w:pPr>
        <w:pStyle w:val="Heading2"/>
        <w:pBdr>
          <w:bottom w:val="single" w:sz="6" w:space="0" w:color="auto"/>
        </w:pBdr>
        <w:shd w:val="clear" w:color="auto" w:fill="FFFFFF"/>
        <w:spacing w:before="0pt" w:beforeAutospacing="0" w:after="3.75pt" w:afterAutospacing="0" w:line="18pt" w:lineRule="atLeast"/>
        <w:rPr>
          <w:rFonts w:ascii="Verdana" w:hAnsi="Verdana"/>
          <w:color w:val="FF6B6B"/>
          <w:sz w:val="23"/>
          <w:szCs w:val="23"/>
        </w:rPr>
      </w:pPr>
    </w:p>
    <w:p w:rsidR="00DB4973" w:rsidRDefault="00DB4973" w:rsidP="00415694">
      <w:pPr>
        <w:pStyle w:val="Heading2"/>
        <w:pBdr>
          <w:bottom w:val="single" w:sz="6" w:space="0" w:color="auto"/>
        </w:pBdr>
        <w:shd w:val="clear" w:color="auto" w:fill="FFFFFF"/>
        <w:spacing w:before="0pt" w:beforeAutospacing="0" w:after="3.75pt" w:afterAutospacing="0" w:line="18pt" w:lineRule="atLeast"/>
        <w:rPr>
          <w:rFonts w:ascii="Verdana" w:hAnsi="Verdana"/>
          <w:color w:val="FF6B6B"/>
          <w:sz w:val="23"/>
          <w:szCs w:val="23"/>
        </w:rPr>
      </w:pPr>
    </w:p>
    <w:p w:rsidR="00DB4973" w:rsidRDefault="00DB4973" w:rsidP="00415694">
      <w:pPr>
        <w:pStyle w:val="Heading2"/>
        <w:pBdr>
          <w:bottom w:val="single" w:sz="6" w:space="0" w:color="auto"/>
        </w:pBdr>
        <w:shd w:val="clear" w:color="auto" w:fill="FFFFFF"/>
        <w:spacing w:before="0pt" w:beforeAutospacing="0" w:after="3.75pt" w:afterAutospacing="0" w:line="18pt" w:lineRule="atLeast"/>
        <w:rPr>
          <w:rFonts w:ascii="Verdana" w:hAnsi="Verdana"/>
          <w:color w:val="FF6B6B"/>
          <w:sz w:val="23"/>
          <w:szCs w:val="23"/>
        </w:rPr>
      </w:pPr>
    </w:p>
    <w:p w:rsidR="00DB4973" w:rsidRDefault="00DB4973" w:rsidP="00415694">
      <w:pPr>
        <w:pStyle w:val="Heading2"/>
        <w:pBdr>
          <w:bottom w:val="single" w:sz="6" w:space="0" w:color="auto"/>
        </w:pBdr>
        <w:shd w:val="clear" w:color="auto" w:fill="FFFFFF"/>
        <w:spacing w:before="0pt" w:beforeAutospacing="0" w:after="3.75pt" w:afterAutospacing="0" w:line="18pt" w:lineRule="atLeast"/>
        <w:rPr>
          <w:rFonts w:ascii="Verdana" w:hAnsi="Verdana"/>
          <w:color w:val="FF6B6B"/>
          <w:sz w:val="23"/>
          <w:szCs w:val="23"/>
        </w:rPr>
      </w:pPr>
    </w:p>
    <w:p w:rsidR="00DB4973" w:rsidRDefault="00DB4973" w:rsidP="00415694">
      <w:pPr>
        <w:pStyle w:val="Heading2"/>
        <w:pBdr>
          <w:bottom w:val="single" w:sz="6" w:space="0" w:color="auto"/>
        </w:pBdr>
        <w:shd w:val="clear" w:color="auto" w:fill="FFFFFF"/>
        <w:spacing w:before="0pt" w:beforeAutospacing="0" w:after="3.75pt" w:afterAutospacing="0" w:line="18pt" w:lineRule="atLeast"/>
        <w:rPr>
          <w:rFonts w:ascii="Verdana" w:hAnsi="Verdana"/>
          <w:color w:val="FF6B6B"/>
          <w:sz w:val="23"/>
          <w:szCs w:val="23"/>
        </w:rPr>
      </w:pPr>
    </w:p>
    <w:p w:rsidR="00DB4973" w:rsidRDefault="00DB4973" w:rsidP="00415694">
      <w:pPr>
        <w:pStyle w:val="Heading2"/>
        <w:pBdr>
          <w:bottom w:val="single" w:sz="6" w:space="0" w:color="auto"/>
        </w:pBdr>
        <w:shd w:val="clear" w:color="auto" w:fill="FFFFFF"/>
        <w:spacing w:before="0pt" w:beforeAutospacing="0" w:after="3.75pt" w:afterAutospacing="0" w:line="18pt" w:lineRule="atLeast"/>
        <w:rPr>
          <w:rFonts w:ascii="Verdana" w:hAnsi="Verdana"/>
          <w:color w:val="FF6B6B"/>
          <w:sz w:val="23"/>
          <w:szCs w:val="23"/>
        </w:rPr>
      </w:pPr>
    </w:p>
    <w:p w:rsidR="00DB4973" w:rsidRDefault="00DB4973" w:rsidP="00415694">
      <w:pPr>
        <w:pStyle w:val="Heading2"/>
        <w:pBdr>
          <w:bottom w:val="single" w:sz="6" w:space="0" w:color="auto"/>
        </w:pBdr>
        <w:shd w:val="clear" w:color="auto" w:fill="FFFFFF"/>
        <w:spacing w:before="0pt" w:beforeAutospacing="0" w:after="3.75pt" w:afterAutospacing="0" w:line="18pt" w:lineRule="atLeast"/>
        <w:rPr>
          <w:rFonts w:ascii="Verdana" w:hAnsi="Verdana"/>
          <w:color w:val="FF6B6B"/>
          <w:sz w:val="23"/>
          <w:szCs w:val="23"/>
        </w:rPr>
      </w:pPr>
    </w:p>
    <w:p w:rsidR="00DB4973" w:rsidRDefault="00DB4973" w:rsidP="00415694">
      <w:pPr>
        <w:pStyle w:val="Heading2"/>
        <w:pBdr>
          <w:bottom w:val="single" w:sz="6" w:space="0" w:color="auto"/>
        </w:pBdr>
        <w:shd w:val="clear" w:color="auto" w:fill="FFFFFF"/>
        <w:spacing w:before="0pt" w:beforeAutospacing="0" w:after="3.75pt" w:afterAutospacing="0" w:line="18pt" w:lineRule="atLeast"/>
        <w:rPr>
          <w:rFonts w:ascii="Verdana" w:hAnsi="Verdana"/>
          <w:color w:val="FF6B6B"/>
          <w:sz w:val="23"/>
          <w:szCs w:val="23"/>
        </w:rPr>
      </w:pPr>
    </w:p>
    <w:p w:rsidR="00DB4973" w:rsidRDefault="00DB4973" w:rsidP="00415694">
      <w:pPr>
        <w:pStyle w:val="Heading2"/>
        <w:pBdr>
          <w:bottom w:val="single" w:sz="6" w:space="0" w:color="auto"/>
        </w:pBdr>
        <w:shd w:val="clear" w:color="auto" w:fill="FFFFFF"/>
        <w:spacing w:before="0pt" w:beforeAutospacing="0" w:after="3.75pt" w:afterAutospacing="0" w:line="18pt" w:lineRule="atLeast"/>
        <w:rPr>
          <w:rFonts w:ascii="Verdana" w:hAnsi="Verdana"/>
          <w:color w:val="FF6B6B"/>
          <w:sz w:val="23"/>
          <w:szCs w:val="23"/>
        </w:rPr>
      </w:pPr>
    </w:p>
    <w:p w:rsidR="00415694" w:rsidRPr="00097FA2" w:rsidRDefault="00415694" w:rsidP="00415694">
      <w:pPr>
        <w:pStyle w:val="Heading2"/>
        <w:pBdr>
          <w:bottom w:val="single" w:sz="6" w:space="0" w:color="auto"/>
        </w:pBdr>
        <w:shd w:val="clear" w:color="auto" w:fill="FFFFFF"/>
        <w:spacing w:before="0pt" w:beforeAutospacing="0" w:after="3.75pt" w:afterAutospacing="0" w:line="18pt" w:lineRule="atLeast"/>
        <w:rPr>
          <w:rFonts w:ascii="Verdana" w:hAnsi="Verdana"/>
          <w:sz w:val="23"/>
          <w:szCs w:val="23"/>
        </w:rPr>
      </w:pPr>
      <w:r w:rsidRPr="00097FA2">
        <w:rPr>
          <w:rFonts w:ascii="Verdana" w:hAnsi="Verdana"/>
          <w:sz w:val="23"/>
          <w:szCs w:val="23"/>
        </w:rPr>
        <w:lastRenderedPageBreak/>
        <w:t>Who is Liable to Deduct TDS</w:t>
      </w:r>
    </w:p>
    <w:p w:rsidR="00415694" w:rsidRDefault="00415694" w:rsidP="00415694">
      <w:pPr>
        <w:shd w:val="clear" w:color="auto" w:fill="FFFFFF"/>
        <w:ind w:start="15pt"/>
        <w:rPr>
          <w:rFonts w:ascii="Verdana" w:hAnsi="Verdana"/>
          <w:color w:val="3A3A3A"/>
          <w:sz w:val="23"/>
          <w:szCs w:val="23"/>
        </w:rPr>
      </w:pPr>
      <w:r>
        <w:rPr>
          <w:rFonts w:ascii="Verdana" w:hAnsi="Verdana"/>
          <w:color w:val="3A3A3A"/>
          <w:sz w:val="23"/>
          <w:szCs w:val="23"/>
        </w:rPr>
        <w:t>Any person who will make payment as specified under Income Tax Act are liable to deduct TDS at the time of making such payment.</w:t>
      </w:r>
    </w:p>
    <w:p w:rsidR="00415694" w:rsidRDefault="00415694" w:rsidP="00415694">
      <w:pPr>
        <w:shd w:val="clear" w:color="auto" w:fill="FFFFFF"/>
        <w:ind w:start="15pt"/>
        <w:rPr>
          <w:rFonts w:ascii="Verdana" w:hAnsi="Verdana"/>
          <w:color w:val="3A3A3A"/>
          <w:sz w:val="23"/>
          <w:szCs w:val="23"/>
        </w:rPr>
      </w:pPr>
    </w:p>
    <w:p w:rsidR="00415694" w:rsidRDefault="00415694" w:rsidP="00415694">
      <w:pPr>
        <w:shd w:val="clear" w:color="auto" w:fill="FFFFFF"/>
        <w:ind w:start="15pt"/>
        <w:rPr>
          <w:rFonts w:ascii="Verdana" w:hAnsi="Verdana"/>
          <w:color w:val="3A3A3A"/>
          <w:sz w:val="23"/>
          <w:szCs w:val="23"/>
        </w:rPr>
      </w:pPr>
      <w:r>
        <w:rPr>
          <w:rFonts w:ascii="Verdana" w:hAnsi="Verdana"/>
          <w:color w:val="3A3A3A"/>
          <w:sz w:val="23"/>
          <w:szCs w:val="23"/>
        </w:rPr>
        <w:t>But no TDS deductions is required if the person who making payment is an individual or HUF whose books are not required to be tax audited.</w:t>
      </w:r>
    </w:p>
    <w:p w:rsidR="00415694" w:rsidRDefault="00415694" w:rsidP="00415694">
      <w:pPr>
        <w:shd w:val="clear" w:color="auto" w:fill="FFFFFF"/>
        <w:ind w:start="15pt"/>
        <w:rPr>
          <w:rFonts w:ascii="Verdana" w:hAnsi="Verdana"/>
          <w:color w:val="3A3A3A"/>
          <w:sz w:val="23"/>
          <w:szCs w:val="23"/>
        </w:rPr>
      </w:pPr>
    </w:p>
    <w:p w:rsidR="00415694" w:rsidRDefault="00415694" w:rsidP="00415694">
      <w:pPr>
        <w:shd w:val="clear" w:color="auto" w:fill="FFFFFF"/>
        <w:ind w:start="15pt"/>
        <w:rPr>
          <w:rFonts w:ascii="Verdana" w:hAnsi="Verdana"/>
          <w:color w:val="3A3A3A"/>
          <w:sz w:val="23"/>
          <w:szCs w:val="23"/>
        </w:rPr>
      </w:pPr>
      <w:r>
        <w:rPr>
          <w:rFonts w:ascii="Verdana" w:hAnsi="Verdana"/>
          <w:color w:val="3A3A3A"/>
          <w:sz w:val="23"/>
          <w:szCs w:val="23"/>
        </w:rPr>
        <w:t xml:space="preserve">Exception if a person who is individual or HUF making payment of rent exceeding </w:t>
      </w:r>
      <w:proofErr w:type="spellStart"/>
      <w:r>
        <w:rPr>
          <w:rFonts w:ascii="Verdana" w:hAnsi="Verdana"/>
          <w:color w:val="3A3A3A"/>
          <w:sz w:val="23"/>
          <w:szCs w:val="23"/>
        </w:rPr>
        <w:t>Rs</w:t>
      </w:r>
      <w:proofErr w:type="spellEnd"/>
      <w:r>
        <w:rPr>
          <w:rFonts w:ascii="Verdana" w:hAnsi="Verdana"/>
          <w:color w:val="3A3A3A"/>
          <w:sz w:val="23"/>
          <w:szCs w:val="23"/>
        </w:rPr>
        <w:t>. 50,000 per month must deduct TDS @5% even his books are not liable for tax audit. The persons also don’t need to apply for TAN.</w:t>
      </w:r>
    </w:p>
    <w:p w:rsidR="00415694" w:rsidRDefault="00415694" w:rsidP="00415694">
      <w:pPr>
        <w:shd w:val="clear" w:color="auto" w:fill="FFFFFF"/>
        <w:ind w:start="15pt"/>
        <w:rPr>
          <w:rFonts w:ascii="Verdana" w:hAnsi="Verdana"/>
          <w:color w:val="3A3A3A"/>
          <w:sz w:val="23"/>
          <w:szCs w:val="23"/>
        </w:rPr>
      </w:pPr>
    </w:p>
    <w:p w:rsidR="005917C6" w:rsidRDefault="005917C6" w:rsidP="00415694">
      <w:pPr>
        <w:pStyle w:val="Heading2"/>
        <w:pBdr>
          <w:bottom w:val="single" w:sz="6" w:space="0" w:color="auto"/>
        </w:pBdr>
        <w:shd w:val="clear" w:color="auto" w:fill="FFFFFF"/>
        <w:spacing w:before="0pt" w:beforeAutospacing="0" w:after="3.75pt" w:afterAutospacing="0" w:line="18pt" w:lineRule="atLeast"/>
        <w:jc w:val="both"/>
        <w:rPr>
          <w:rFonts w:ascii="Verdana" w:hAnsi="Verdana"/>
          <w:color w:val="FF6B6B"/>
          <w:sz w:val="23"/>
          <w:szCs w:val="23"/>
        </w:rPr>
      </w:pPr>
    </w:p>
    <w:p w:rsidR="005917C6" w:rsidRDefault="005917C6" w:rsidP="00415694">
      <w:pPr>
        <w:pStyle w:val="Heading2"/>
        <w:pBdr>
          <w:bottom w:val="single" w:sz="6" w:space="0" w:color="auto"/>
        </w:pBdr>
        <w:shd w:val="clear" w:color="auto" w:fill="FFFFFF"/>
        <w:spacing w:before="0pt" w:beforeAutospacing="0" w:after="3.75pt" w:afterAutospacing="0" w:line="18pt" w:lineRule="atLeast"/>
        <w:jc w:val="both"/>
        <w:rPr>
          <w:rFonts w:ascii="Verdana" w:hAnsi="Verdana"/>
          <w:color w:val="FF6B6B"/>
          <w:sz w:val="23"/>
          <w:szCs w:val="23"/>
        </w:rPr>
      </w:pPr>
    </w:p>
    <w:p w:rsidR="00415694" w:rsidRPr="00097FA2" w:rsidRDefault="00415694" w:rsidP="00415694">
      <w:pPr>
        <w:pStyle w:val="Heading2"/>
        <w:pBdr>
          <w:bottom w:val="single" w:sz="6" w:space="0" w:color="auto"/>
        </w:pBdr>
        <w:shd w:val="clear" w:color="auto" w:fill="FFFFFF"/>
        <w:spacing w:before="0pt" w:beforeAutospacing="0" w:after="3.75pt" w:afterAutospacing="0" w:line="18pt" w:lineRule="atLeast"/>
        <w:jc w:val="both"/>
        <w:rPr>
          <w:rFonts w:ascii="Verdana" w:hAnsi="Verdana"/>
          <w:sz w:val="23"/>
          <w:szCs w:val="23"/>
        </w:rPr>
      </w:pPr>
      <w:r w:rsidRPr="00097FA2">
        <w:rPr>
          <w:rFonts w:ascii="Verdana" w:hAnsi="Verdana"/>
          <w:sz w:val="23"/>
          <w:szCs w:val="23"/>
        </w:rPr>
        <w:t>TDS Certificate Issuing Due Dates</w:t>
      </w:r>
    </w:p>
    <w:p w:rsidR="00415694" w:rsidRDefault="00415694" w:rsidP="00415694">
      <w:pPr>
        <w:pStyle w:val="NormalWeb"/>
        <w:shd w:val="clear" w:color="auto" w:fill="FFFFFF"/>
        <w:spacing w:before="0pt" w:beforeAutospacing="0" w:after="3.75pt" w:afterAutospacing="0"/>
        <w:jc w:val="both"/>
        <w:rPr>
          <w:rFonts w:ascii="Verdana" w:hAnsi="Verdana"/>
          <w:color w:val="3A3A3A"/>
          <w:sz w:val="23"/>
          <w:szCs w:val="23"/>
        </w:rPr>
      </w:pPr>
      <w:r>
        <w:rPr>
          <w:rFonts w:ascii="Verdana" w:hAnsi="Verdana"/>
          <w:color w:val="3A3A3A"/>
          <w:sz w:val="23"/>
          <w:szCs w:val="23"/>
        </w:rPr>
        <w:t xml:space="preserve">The employers or </w:t>
      </w:r>
      <w:proofErr w:type="spellStart"/>
      <w:r>
        <w:rPr>
          <w:rFonts w:ascii="Verdana" w:hAnsi="Verdana"/>
          <w:color w:val="3A3A3A"/>
          <w:sz w:val="23"/>
          <w:szCs w:val="23"/>
        </w:rPr>
        <w:t>deducter</w:t>
      </w:r>
      <w:proofErr w:type="spellEnd"/>
      <w:r>
        <w:rPr>
          <w:rFonts w:ascii="Verdana" w:hAnsi="Verdana"/>
          <w:color w:val="3A3A3A"/>
          <w:sz w:val="23"/>
          <w:szCs w:val="23"/>
        </w:rPr>
        <w:t xml:space="preserve"> who deduct TDS must issue TDS Certificate. You should note the following dates to issue TDS certificate. We have also mentioned the dates on TDS rates chart for F.Y. 2020-21.</w:t>
      </w:r>
    </w:p>
    <w:tbl>
      <w:tblPr>
        <w:tblW w:w="419.10pt" w:type="dxa"/>
        <w:tblInd w:w="6.40pt" w:type="dxa"/>
        <w:tblBorders>
          <w:top w:val="single" w:sz="6" w:space="0" w:color="auto"/>
          <w:start w:val="single" w:sz="6" w:space="0" w:color="auto"/>
          <w:bottom w:val="single" w:sz="2" w:space="0" w:color="auto"/>
          <w:end w:val="single" w:sz="2" w:space="0" w:color="auto"/>
        </w:tblBorders>
        <w:shd w:val="clear" w:color="auto" w:fill="FFFFFF"/>
        <w:tblCellMar>
          <w:top w:w="0pt" w:type="dxa"/>
          <w:start w:w="0pt" w:type="dxa"/>
          <w:bottom w:w="0pt" w:type="dxa"/>
          <w:end w:w="0pt" w:type="dxa"/>
        </w:tblCellMar>
        <w:tblLook w:firstRow="1" w:lastRow="0" w:firstColumn="1" w:lastColumn="0" w:noHBand="0" w:noVBand="1"/>
      </w:tblPr>
      <w:tblGrid>
        <w:gridCol w:w="2097"/>
        <w:gridCol w:w="2097"/>
        <w:gridCol w:w="2097"/>
        <w:gridCol w:w="2091"/>
      </w:tblGrid>
      <w:tr w:rsidR="00415694" w:rsidRPr="00415694" w:rsidTr="00415694">
        <w:tblPrEx>
          <w:tblCellMar>
            <w:top w:w="0pt" w:type="dxa"/>
            <w:bottom w:w="0pt" w:type="dxa"/>
          </w:tblCellMar>
        </w:tblPrEx>
        <w:trPr>
          <w:tblHeader/>
        </w:trPr>
        <w:tc>
          <w:tcPr>
            <w:tcW w:w="92.10pt" w:type="dxa"/>
            <w:shd w:val="clear" w:color="auto" w:fill="FCFACF"/>
            <w:tcMar>
              <w:top w:w="0pt" w:type="dxa"/>
              <w:start w:w="6pt" w:type="dxa"/>
              <w:bottom w:w="0pt" w:type="dxa"/>
              <w:end w:w="6pt" w:type="dxa"/>
            </w:tcMar>
            <w:vAlign w:val="center"/>
            <w:hideMark/>
          </w:tcPr>
          <w:p w:rsidR="00415694" w:rsidRPr="00415694" w:rsidRDefault="00415694" w:rsidP="00415694">
            <w:pPr>
              <w:rPr>
                <w:rFonts w:ascii="Verdana" w:eastAsia="Times New Roman" w:hAnsi="Verdana" w:cs="Times New Roman"/>
                <w:b/>
                <w:bCs/>
                <w:color w:val="3A3A3A"/>
              </w:rPr>
            </w:pPr>
            <w:r w:rsidRPr="00415694">
              <w:rPr>
                <w:rFonts w:ascii="Verdana" w:eastAsia="Times New Roman" w:hAnsi="Verdana" w:cs="Times New Roman"/>
                <w:b/>
                <w:bCs/>
                <w:color w:val="3A3A3A"/>
                <w:bdr w:val="none" w:sz="0" w:space="0" w:color="auto" w:frame="1"/>
              </w:rPr>
              <w:t>Period</w:t>
            </w:r>
          </w:p>
        </w:tc>
        <w:tc>
          <w:tcPr>
            <w:tcW w:w="92.10pt" w:type="dxa"/>
            <w:shd w:val="clear" w:color="auto" w:fill="FCFACF"/>
            <w:tcMar>
              <w:top w:w="0pt" w:type="dxa"/>
              <w:start w:w="6pt" w:type="dxa"/>
              <w:bottom w:w="0pt" w:type="dxa"/>
              <w:end w:w="6pt" w:type="dxa"/>
            </w:tcMar>
            <w:vAlign w:val="center"/>
            <w:hideMark/>
          </w:tcPr>
          <w:p w:rsidR="00415694" w:rsidRPr="00415694" w:rsidRDefault="00415694" w:rsidP="00415694">
            <w:pPr>
              <w:rPr>
                <w:rFonts w:ascii="Verdana" w:eastAsia="Times New Roman" w:hAnsi="Verdana" w:cs="Times New Roman"/>
                <w:b/>
                <w:bCs/>
                <w:color w:val="3A3A3A"/>
              </w:rPr>
            </w:pPr>
            <w:r w:rsidRPr="00415694">
              <w:rPr>
                <w:rFonts w:ascii="Verdana" w:eastAsia="Times New Roman" w:hAnsi="Verdana" w:cs="Times New Roman"/>
                <w:b/>
                <w:bCs/>
                <w:color w:val="3A3A3A"/>
                <w:bdr w:val="none" w:sz="0" w:space="0" w:color="auto" w:frame="1"/>
              </w:rPr>
              <w:t>Payments</w:t>
            </w:r>
          </w:p>
        </w:tc>
        <w:tc>
          <w:tcPr>
            <w:tcW w:w="92.10pt" w:type="dxa"/>
            <w:shd w:val="clear" w:color="auto" w:fill="FCFACF"/>
            <w:tcMar>
              <w:top w:w="0pt" w:type="dxa"/>
              <w:start w:w="6pt" w:type="dxa"/>
              <w:bottom w:w="0pt" w:type="dxa"/>
              <w:end w:w="6pt" w:type="dxa"/>
            </w:tcMar>
            <w:vAlign w:val="center"/>
            <w:hideMark/>
          </w:tcPr>
          <w:p w:rsidR="00415694" w:rsidRPr="00415694" w:rsidRDefault="00415694" w:rsidP="00415694">
            <w:pPr>
              <w:rPr>
                <w:rFonts w:ascii="Verdana" w:eastAsia="Times New Roman" w:hAnsi="Verdana" w:cs="Times New Roman"/>
                <w:b/>
                <w:bCs/>
                <w:color w:val="3A3A3A"/>
              </w:rPr>
            </w:pPr>
            <w:r w:rsidRPr="00415694">
              <w:rPr>
                <w:rFonts w:ascii="Verdana" w:eastAsia="Times New Roman" w:hAnsi="Verdana" w:cs="Times New Roman"/>
                <w:b/>
                <w:bCs/>
                <w:color w:val="3A3A3A"/>
                <w:bdr w:val="none" w:sz="0" w:space="0" w:color="auto" w:frame="1"/>
              </w:rPr>
              <w:t>Forms No.</w:t>
            </w:r>
          </w:p>
        </w:tc>
        <w:tc>
          <w:tcPr>
            <w:tcW w:w="91.80pt" w:type="dxa"/>
            <w:shd w:val="clear" w:color="auto" w:fill="FCFACF"/>
            <w:tcMar>
              <w:top w:w="0pt" w:type="dxa"/>
              <w:start w:w="6pt" w:type="dxa"/>
              <w:bottom w:w="0pt" w:type="dxa"/>
              <w:end w:w="6pt" w:type="dxa"/>
            </w:tcMar>
            <w:vAlign w:val="center"/>
            <w:hideMark/>
          </w:tcPr>
          <w:p w:rsidR="00415694" w:rsidRPr="00415694" w:rsidRDefault="00415694" w:rsidP="00415694">
            <w:pPr>
              <w:rPr>
                <w:rFonts w:ascii="Verdana" w:eastAsia="Times New Roman" w:hAnsi="Verdana" w:cs="Times New Roman"/>
                <w:b/>
                <w:bCs/>
                <w:color w:val="3A3A3A"/>
              </w:rPr>
            </w:pPr>
            <w:r w:rsidRPr="00415694">
              <w:rPr>
                <w:rFonts w:ascii="Verdana" w:eastAsia="Times New Roman" w:hAnsi="Verdana" w:cs="Times New Roman"/>
                <w:b/>
                <w:bCs/>
                <w:color w:val="3A3A3A"/>
                <w:bdr w:val="none" w:sz="0" w:space="0" w:color="auto" w:frame="1"/>
              </w:rPr>
              <w:t>Due Dates</w:t>
            </w:r>
          </w:p>
        </w:tc>
      </w:tr>
      <w:tr w:rsidR="00415694" w:rsidRPr="00415694" w:rsidTr="00415694">
        <w:tblPrEx>
          <w:tblCellMar>
            <w:top w:w="0pt" w:type="dxa"/>
            <w:bottom w:w="0pt" w:type="dxa"/>
          </w:tblCellMar>
        </w:tblPrEx>
        <w:tc>
          <w:tcPr>
            <w:tcW w:w="96.6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Pr="00415694" w:rsidRDefault="00415694" w:rsidP="00415694">
            <w:pPr>
              <w:rPr>
                <w:rFonts w:ascii="Verdana" w:eastAsia="Times New Roman" w:hAnsi="Verdana" w:cs="Times New Roman"/>
                <w:color w:val="3A3A3A"/>
              </w:rPr>
            </w:pPr>
            <w:r w:rsidRPr="00415694">
              <w:rPr>
                <w:rFonts w:ascii="Verdana" w:eastAsia="Times New Roman" w:hAnsi="Verdana" w:cs="Times New Roman"/>
                <w:color w:val="3A3A3A"/>
              </w:rPr>
              <w:t>Yearly (For Whole Year)</w:t>
            </w:r>
          </w:p>
        </w:tc>
        <w:tc>
          <w:tcPr>
            <w:tcW w:w="96.6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Pr="00415694" w:rsidRDefault="00415694" w:rsidP="00415694">
            <w:pPr>
              <w:rPr>
                <w:rFonts w:ascii="Verdana" w:eastAsia="Times New Roman" w:hAnsi="Verdana" w:cs="Times New Roman"/>
                <w:color w:val="3A3A3A"/>
              </w:rPr>
            </w:pPr>
            <w:r w:rsidRPr="00415694">
              <w:rPr>
                <w:rFonts w:ascii="Verdana" w:eastAsia="Times New Roman" w:hAnsi="Verdana" w:cs="Times New Roman"/>
                <w:color w:val="3A3A3A"/>
              </w:rPr>
              <w:t>TDS on Salary Payment</w:t>
            </w:r>
          </w:p>
        </w:tc>
        <w:tc>
          <w:tcPr>
            <w:tcW w:w="96.6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Pr="00415694" w:rsidRDefault="00415694" w:rsidP="00415694">
            <w:pPr>
              <w:rPr>
                <w:rFonts w:ascii="Verdana" w:eastAsia="Times New Roman" w:hAnsi="Verdana" w:cs="Times New Roman"/>
                <w:color w:val="3A3A3A"/>
              </w:rPr>
            </w:pPr>
            <w:r w:rsidRPr="00415694">
              <w:rPr>
                <w:rFonts w:ascii="Verdana" w:eastAsia="Times New Roman" w:hAnsi="Verdana" w:cs="Times New Roman"/>
                <w:color w:val="3A3A3A"/>
              </w:rPr>
              <w:t>Form 16</w:t>
            </w:r>
          </w:p>
        </w:tc>
        <w:tc>
          <w:tcPr>
            <w:tcW w:w="96.3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Pr="00415694" w:rsidRDefault="00415694" w:rsidP="00415694">
            <w:pPr>
              <w:rPr>
                <w:rFonts w:ascii="Verdana" w:eastAsia="Times New Roman" w:hAnsi="Verdana" w:cs="Times New Roman"/>
                <w:color w:val="3A3A3A"/>
              </w:rPr>
            </w:pPr>
            <w:r w:rsidRPr="00415694">
              <w:rPr>
                <w:rFonts w:ascii="Verdana" w:eastAsia="Times New Roman" w:hAnsi="Verdana" w:cs="Times New Roman"/>
                <w:color w:val="3A3A3A"/>
              </w:rPr>
              <w:t>31st May</w:t>
            </w:r>
          </w:p>
        </w:tc>
      </w:tr>
      <w:tr w:rsidR="00415694" w:rsidRPr="00415694" w:rsidTr="00415694">
        <w:tblPrEx>
          <w:tblCellMar>
            <w:top w:w="0pt" w:type="dxa"/>
            <w:bottom w:w="0pt" w:type="dxa"/>
          </w:tblCellMar>
        </w:tblPrEx>
        <w:tc>
          <w:tcPr>
            <w:tcW w:w="96.6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Pr="00415694" w:rsidRDefault="00415694" w:rsidP="00415694">
            <w:pPr>
              <w:rPr>
                <w:rFonts w:ascii="Verdana" w:eastAsia="Times New Roman" w:hAnsi="Verdana" w:cs="Times New Roman"/>
                <w:color w:val="3A3A3A"/>
              </w:rPr>
            </w:pPr>
            <w:r w:rsidRPr="00415694">
              <w:rPr>
                <w:rFonts w:ascii="Verdana" w:eastAsia="Times New Roman" w:hAnsi="Verdana" w:cs="Times New Roman"/>
                <w:color w:val="3A3A3A"/>
              </w:rPr>
              <w:t>Quarterly</w:t>
            </w:r>
          </w:p>
        </w:tc>
        <w:tc>
          <w:tcPr>
            <w:tcW w:w="96.6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Pr="00415694" w:rsidRDefault="00415694" w:rsidP="00415694">
            <w:pPr>
              <w:rPr>
                <w:rFonts w:ascii="Verdana" w:eastAsia="Times New Roman" w:hAnsi="Verdana" w:cs="Times New Roman"/>
                <w:color w:val="3A3A3A"/>
              </w:rPr>
            </w:pPr>
            <w:r w:rsidRPr="00415694">
              <w:rPr>
                <w:rFonts w:ascii="Verdana" w:eastAsia="Times New Roman" w:hAnsi="Verdana" w:cs="Times New Roman"/>
                <w:color w:val="3A3A3A"/>
              </w:rPr>
              <w:t>TDS on Non-Salary Payments</w:t>
            </w:r>
          </w:p>
        </w:tc>
        <w:tc>
          <w:tcPr>
            <w:tcW w:w="96.6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Pr="00415694" w:rsidRDefault="00415694" w:rsidP="00415694">
            <w:pPr>
              <w:rPr>
                <w:rFonts w:ascii="Verdana" w:eastAsia="Times New Roman" w:hAnsi="Verdana" w:cs="Times New Roman"/>
                <w:color w:val="3A3A3A"/>
              </w:rPr>
            </w:pPr>
            <w:r w:rsidRPr="00415694">
              <w:rPr>
                <w:rFonts w:ascii="Verdana" w:eastAsia="Times New Roman" w:hAnsi="Verdana" w:cs="Times New Roman"/>
                <w:color w:val="3A3A3A"/>
              </w:rPr>
              <w:t>Form 16A</w:t>
            </w:r>
          </w:p>
        </w:tc>
        <w:tc>
          <w:tcPr>
            <w:tcW w:w="96.3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Pr="00415694" w:rsidRDefault="00415694" w:rsidP="00415694">
            <w:pPr>
              <w:rPr>
                <w:rFonts w:ascii="Verdana" w:eastAsia="Times New Roman" w:hAnsi="Verdana" w:cs="Times New Roman"/>
                <w:color w:val="3A3A3A"/>
              </w:rPr>
            </w:pPr>
            <w:r w:rsidRPr="00415694">
              <w:rPr>
                <w:rFonts w:ascii="Verdana" w:eastAsia="Times New Roman" w:hAnsi="Verdana" w:cs="Times New Roman"/>
                <w:color w:val="3A3A3A"/>
              </w:rPr>
              <w:t>15 Days from due date of filing return</w:t>
            </w:r>
          </w:p>
        </w:tc>
      </w:tr>
      <w:tr w:rsidR="00415694" w:rsidRPr="00415694" w:rsidTr="00415694">
        <w:tblPrEx>
          <w:tblCellMar>
            <w:top w:w="0pt" w:type="dxa"/>
            <w:bottom w:w="0pt" w:type="dxa"/>
          </w:tblCellMar>
        </w:tblPrEx>
        <w:tc>
          <w:tcPr>
            <w:tcW w:w="96.6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Pr="00415694" w:rsidRDefault="00415694" w:rsidP="00415694">
            <w:pPr>
              <w:rPr>
                <w:rFonts w:ascii="Verdana" w:eastAsia="Times New Roman" w:hAnsi="Verdana" w:cs="Times New Roman"/>
                <w:color w:val="3A3A3A"/>
              </w:rPr>
            </w:pPr>
            <w:r w:rsidRPr="00415694">
              <w:rPr>
                <w:rFonts w:ascii="Verdana" w:eastAsia="Times New Roman" w:hAnsi="Verdana" w:cs="Times New Roman"/>
                <w:color w:val="3A3A3A"/>
              </w:rPr>
              <w:t>Every Transaction</w:t>
            </w:r>
          </w:p>
        </w:tc>
        <w:tc>
          <w:tcPr>
            <w:tcW w:w="96.6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Pr="00415694" w:rsidRDefault="00415694" w:rsidP="00415694">
            <w:pPr>
              <w:rPr>
                <w:rFonts w:ascii="Verdana" w:eastAsia="Times New Roman" w:hAnsi="Verdana" w:cs="Times New Roman"/>
                <w:color w:val="3A3A3A"/>
              </w:rPr>
            </w:pPr>
            <w:r w:rsidRPr="00415694">
              <w:rPr>
                <w:rFonts w:ascii="Verdana" w:eastAsia="Times New Roman" w:hAnsi="Verdana" w:cs="Times New Roman"/>
                <w:color w:val="3A3A3A"/>
              </w:rPr>
              <w:t>TDS on Sale of Property</w:t>
            </w:r>
          </w:p>
        </w:tc>
        <w:tc>
          <w:tcPr>
            <w:tcW w:w="96.6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Pr="00415694" w:rsidRDefault="00415694" w:rsidP="00415694">
            <w:pPr>
              <w:rPr>
                <w:rFonts w:ascii="Verdana" w:eastAsia="Times New Roman" w:hAnsi="Verdana" w:cs="Times New Roman"/>
                <w:color w:val="3A3A3A"/>
              </w:rPr>
            </w:pPr>
            <w:r w:rsidRPr="00415694">
              <w:rPr>
                <w:rFonts w:ascii="Verdana" w:eastAsia="Times New Roman" w:hAnsi="Verdana" w:cs="Times New Roman"/>
                <w:color w:val="3A3A3A"/>
              </w:rPr>
              <w:t>Form 16B</w:t>
            </w:r>
          </w:p>
        </w:tc>
        <w:tc>
          <w:tcPr>
            <w:tcW w:w="96.3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Pr="00415694" w:rsidRDefault="00415694" w:rsidP="00415694">
            <w:pPr>
              <w:rPr>
                <w:rFonts w:ascii="Verdana" w:eastAsia="Times New Roman" w:hAnsi="Verdana" w:cs="Times New Roman"/>
                <w:color w:val="3A3A3A"/>
              </w:rPr>
            </w:pPr>
            <w:r w:rsidRPr="00415694">
              <w:rPr>
                <w:rFonts w:ascii="Verdana" w:eastAsia="Times New Roman" w:hAnsi="Verdana" w:cs="Times New Roman"/>
                <w:color w:val="3A3A3A"/>
              </w:rPr>
              <w:t>15 Days from due date of filing return</w:t>
            </w:r>
          </w:p>
        </w:tc>
      </w:tr>
      <w:tr w:rsidR="00415694" w:rsidRPr="00415694" w:rsidTr="00415694">
        <w:tblPrEx>
          <w:tblCellMar>
            <w:top w:w="0pt" w:type="dxa"/>
            <w:bottom w:w="0pt" w:type="dxa"/>
          </w:tblCellMar>
        </w:tblPrEx>
        <w:tc>
          <w:tcPr>
            <w:tcW w:w="96.6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Pr="00415694" w:rsidRDefault="00415694" w:rsidP="00415694">
            <w:pPr>
              <w:rPr>
                <w:rFonts w:ascii="Verdana" w:eastAsia="Times New Roman" w:hAnsi="Verdana" w:cs="Times New Roman"/>
                <w:color w:val="3A3A3A"/>
              </w:rPr>
            </w:pPr>
            <w:r w:rsidRPr="00415694">
              <w:rPr>
                <w:rFonts w:ascii="Verdana" w:eastAsia="Times New Roman" w:hAnsi="Verdana" w:cs="Times New Roman"/>
                <w:color w:val="3A3A3A"/>
              </w:rPr>
              <w:t>Every Transaction</w:t>
            </w:r>
          </w:p>
        </w:tc>
        <w:tc>
          <w:tcPr>
            <w:tcW w:w="96.6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Pr="00415694" w:rsidRDefault="00415694" w:rsidP="00415694">
            <w:pPr>
              <w:rPr>
                <w:rFonts w:ascii="Verdana" w:eastAsia="Times New Roman" w:hAnsi="Verdana" w:cs="Times New Roman"/>
                <w:color w:val="3A3A3A"/>
              </w:rPr>
            </w:pPr>
            <w:r w:rsidRPr="00415694">
              <w:rPr>
                <w:rFonts w:ascii="Verdana" w:eastAsia="Times New Roman" w:hAnsi="Verdana" w:cs="Times New Roman"/>
                <w:color w:val="3A3A3A"/>
              </w:rPr>
              <w:t>TDS on Rent</w:t>
            </w:r>
          </w:p>
        </w:tc>
        <w:tc>
          <w:tcPr>
            <w:tcW w:w="96.6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Pr="00415694" w:rsidRDefault="00415694" w:rsidP="00415694">
            <w:pPr>
              <w:rPr>
                <w:rFonts w:ascii="Verdana" w:eastAsia="Times New Roman" w:hAnsi="Verdana" w:cs="Times New Roman"/>
                <w:color w:val="3A3A3A"/>
              </w:rPr>
            </w:pPr>
            <w:r w:rsidRPr="00415694">
              <w:rPr>
                <w:rFonts w:ascii="Verdana" w:eastAsia="Times New Roman" w:hAnsi="Verdana" w:cs="Times New Roman"/>
                <w:color w:val="3A3A3A"/>
              </w:rPr>
              <w:t>Form 16C</w:t>
            </w:r>
          </w:p>
        </w:tc>
        <w:tc>
          <w:tcPr>
            <w:tcW w:w="96.30pt" w:type="dxa"/>
            <w:shd w:val="clear" w:color="auto" w:fill="FFFFFF"/>
            <w:tcMar>
              <w:top w:w="1.50pt" w:type="dxa"/>
              <w:start w:w="3.75pt" w:type="dxa"/>
              <w:bottom w:w="1.50pt" w:type="dxa"/>
              <w:end w:w="3.75pt" w:type="dxa"/>
            </w:tcMar>
            <w:vAlign w:val="center"/>
            <w:hideMark/>
          </w:tcPr>
          <w:p w:rsidR="00415694" w:rsidRPr="00415694" w:rsidRDefault="00415694" w:rsidP="00415694">
            <w:pPr>
              <w:rPr>
                <w:rFonts w:ascii="Verdana" w:eastAsia="Times New Roman" w:hAnsi="Verdana" w:cs="Times New Roman"/>
                <w:color w:val="3A3A3A"/>
              </w:rPr>
            </w:pPr>
            <w:r w:rsidRPr="00415694">
              <w:rPr>
                <w:rFonts w:ascii="Verdana" w:eastAsia="Times New Roman" w:hAnsi="Verdana" w:cs="Times New Roman"/>
                <w:color w:val="3A3A3A"/>
              </w:rPr>
              <w:t>15 Days from due date of filing return</w:t>
            </w:r>
          </w:p>
        </w:tc>
      </w:tr>
    </w:tbl>
    <w:p w:rsidR="00415694" w:rsidRDefault="00415694" w:rsidP="00415694">
      <w:pPr>
        <w:shd w:val="clear" w:color="auto" w:fill="FFFFFF"/>
        <w:ind w:start="15pt"/>
        <w:rPr>
          <w:rFonts w:ascii="Verdana" w:hAnsi="Verdana"/>
          <w:color w:val="3A3A3A"/>
          <w:sz w:val="23"/>
          <w:szCs w:val="23"/>
        </w:rPr>
      </w:pPr>
    </w:p>
    <w:p w:rsidR="00415694" w:rsidRDefault="00415694">
      <w:pPr>
        <w:spacing w:line="0pt" w:lineRule="atLeast"/>
        <w:jc w:val="center"/>
        <w:rPr>
          <w:b/>
          <w:sz w:val="36"/>
        </w:rPr>
      </w:pPr>
    </w:p>
    <w:p w:rsidR="00DB4973" w:rsidRDefault="00DB4973">
      <w:pPr>
        <w:spacing w:line="0pt" w:lineRule="atLeast"/>
        <w:jc w:val="center"/>
        <w:rPr>
          <w:b/>
          <w:sz w:val="36"/>
        </w:rPr>
      </w:pPr>
    </w:p>
    <w:p w:rsidR="00DB4973" w:rsidRDefault="00DB4973">
      <w:pPr>
        <w:spacing w:line="0pt" w:lineRule="atLeast"/>
        <w:jc w:val="center"/>
        <w:rPr>
          <w:b/>
          <w:sz w:val="36"/>
        </w:rPr>
      </w:pPr>
    </w:p>
    <w:p w:rsidR="00DB4973" w:rsidRDefault="00DB4973">
      <w:pPr>
        <w:spacing w:line="0pt" w:lineRule="atLeast"/>
        <w:jc w:val="center"/>
        <w:rPr>
          <w:b/>
          <w:sz w:val="36"/>
        </w:rPr>
      </w:pPr>
    </w:p>
    <w:p w:rsidR="00DB4973" w:rsidRDefault="00DB4973">
      <w:pPr>
        <w:spacing w:line="0pt" w:lineRule="atLeast"/>
        <w:jc w:val="center"/>
        <w:rPr>
          <w:b/>
          <w:sz w:val="36"/>
        </w:rPr>
      </w:pPr>
    </w:p>
    <w:p w:rsidR="00DB4973" w:rsidRDefault="00DB4973">
      <w:pPr>
        <w:spacing w:line="0pt" w:lineRule="atLeast"/>
        <w:jc w:val="center"/>
        <w:rPr>
          <w:b/>
          <w:sz w:val="36"/>
        </w:rPr>
      </w:pPr>
    </w:p>
    <w:p w:rsidR="00DB4973" w:rsidRDefault="00DB4973">
      <w:pPr>
        <w:spacing w:line="0pt" w:lineRule="atLeast"/>
        <w:jc w:val="center"/>
        <w:rPr>
          <w:b/>
          <w:sz w:val="36"/>
        </w:rPr>
      </w:pPr>
    </w:p>
    <w:p w:rsidR="00097FA2" w:rsidRDefault="00097FA2">
      <w:pPr>
        <w:spacing w:line="0pt" w:lineRule="atLeast"/>
        <w:jc w:val="center"/>
        <w:rPr>
          <w:b/>
          <w:sz w:val="36"/>
        </w:rPr>
      </w:pPr>
    </w:p>
    <w:p w:rsidR="00097FA2" w:rsidRDefault="00097FA2">
      <w:pPr>
        <w:spacing w:line="0pt" w:lineRule="atLeast"/>
        <w:jc w:val="center"/>
        <w:rPr>
          <w:b/>
          <w:sz w:val="36"/>
        </w:rPr>
      </w:pPr>
    </w:p>
    <w:p w:rsidR="00097FA2" w:rsidRDefault="00097FA2">
      <w:pPr>
        <w:spacing w:line="0pt" w:lineRule="atLeast"/>
        <w:jc w:val="center"/>
        <w:rPr>
          <w:b/>
          <w:sz w:val="36"/>
        </w:rPr>
      </w:pPr>
    </w:p>
    <w:p w:rsidR="00097FA2" w:rsidRDefault="00097FA2">
      <w:pPr>
        <w:spacing w:line="0pt" w:lineRule="atLeast"/>
        <w:jc w:val="center"/>
        <w:rPr>
          <w:b/>
          <w:sz w:val="36"/>
        </w:rPr>
      </w:pPr>
    </w:p>
    <w:p w:rsidR="00097FA2" w:rsidRDefault="00097FA2">
      <w:pPr>
        <w:spacing w:line="0pt" w:lineRule="atLeast"/>
        <w:jc w:val="center"/>
        <w:rPr>
          <w:b/>
          <w:sz w:val="36"/>
        </w:rPr>
      </w:pPr>
    </w:p>
    <w:p w:rsidR="00097FA2" w:rsidRDefault="00097FA2">
      <w:pPr>
        <w:spacing w:line="0pt" w:lineRule="atLeast"/>
        <w:jc w:val="center"/>
        <w:rPr>
          <w:b/>
          <w:sz w:val="36"/>
        </w:rPr>
      </w:pPr>
    </w:p>
    <w:p w:rsidR="00097FA2" w:rsidRDefault="00097FA2" w:rsidP="00097FA2">
      <w:pPr>
        <w:spacing w:line="0pt" w:lineRule="atLeast"/>
        <w:jc w:val="center"/>
        <w:rPr>
          <w:b/>
          <w:sz w:val="36"/>
        </w:rPr>
      </w:pPr>
      <w:r>
        <w:rPr>
          <w:b/>
          <w:sz w:val="36"/>
        </w:rPr>
        <w:lastRenderedPageBreak/>
        <w:t>TDS Rate Chart for F.Y. 2020-21 (A.Y: 2021-22)</w:t>
      </w:r>
    </w:p>
    <w:p w:rsidR="00DB4973" w:rsidRDefault="00DB4973" w:rsidP="00DB4973">
      <w:pPr>
        <w:spacing w:line="0pt" w:lineRule="atLeast"/>
        <w:rPr>
          <w:b/>
          <w:sz w:val="36"/>
        </w:rPr>
      </w:pPr>
    </w:p>
    <w:p w:rsidR="00155C9A" w:rsidRDefault="00155C9A">
      <w:pPr>
        <w:spacing w:line="1.60pt" w:lineRule="exact"/>
        <w:rPr>
          <w:rFonts w:ascii="Times New Roman" w:eastAsia="Times New Roman" w:hAnsi="Times New Roman"/>
          <w:sz w:val="24"/>
        </w:rPr>
      </w:pPr>
    </w:p>
    <w:p w:rsidR="00097FA2" w:rsidRDefault="00097FA2">
      <w:pPr>
        <w:spacing w:line="2.75pt" w:lineRule="exact"/>
        <w:rPr>
          <w:rFonts w:ascii="Times New Roman" w:eastAsia="Times New Roman" w:hAnsi="Times New Roman"/>
          <w:sz w:val="24"/>
        </w:rPr>
      </w:pPr>
    </w:p>
    <w:p w:rsidR="00097FA2" w:rsidRDefault="00097FA2">
      <w:pPr>
        <w:spacing w:line="2.75pt" w:lineRule="exact"/>
        <w:rPr>
          <w:rFonts w:ascii="Times New Roman" w:eastAsia="Times New Roman" w:hAnsi="Times New Roman"/>
          <w:sz w:val="24"/>
        </w:rPr>
      </w:pPr>
    </w:p>
    <w:tbl>
      <w:tblPr>
        <w:tblW w:w="0pt" w:type="auto"/>
        <w:tblInd w:w="0.50pt" w:type="dxa"/>
        <w:tblLayout w:type="fixed"/>
        <w:tblCellMar>
          <w:top w:w="0pt" w:type="dxa"/>
          <w:start w:w="0pt" w:type="dxa"/>
          <w:bottom w:w="0pt" w:type="dxa"/>
          <w:end w:w="0pt" w:type="dxa"/>
        </w:tblCellMar>
        <w:tblLook w:firstRow="0" w:lastRow="0" w:firstColumn="0" w:lastColumn="0" w:noHBand="0" w:noVBand="0"/>
      </w:tblPr>
      <w:tblGrid>
        <w:gridCol w:w="740"/>
        <w:gridCol w:w="2240"/>
        <w:gridCol w:w="820"/>
        <w:gridCol w:w="1260"/>
        <w:gridCol w:w="1300"/>
        <w:gridCol w:w="1660"/>
        <w:gridCol w:w="1420"/>
        <w:gridCol w:w="1680"/>
      </w:tblGrid>
      <w:tr w:rsidR="00155C9A">
        <w:trPr>
          <w:trHeight w:val="264"/>
        </w:trPr>
        <w:tc>
          <w:tcPr>
            <w:tcW w:w="37pt" w:type="dxa"/>
            <w:tcBorders>
              <w:top w:val="single" w:sz="8" w:space="0" w:color="auto"/>
              <w:start w:val="single" w:sz="8" w:space="0" w:color="auto"/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pt" w:type="dxa"/>
            <w:tcBorders>
              <w:top w:val="single" w:sz="8" w:space="0" w:color="auto"/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1pt" w:type="dxa"/>
            <w:tcBorders>
              <w:top w:val="single" w:sz="8" w:space="0" w:color="auto"/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3pt" w:type="dxa"/>
            <w:tcBorders>
              <w:top w:val="single" w:sz="8" w:space="0" w:color="auto"/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5pt" w:type="dxa"/>
            <w:tcBorders>
              <w:top w:val="single" w:sz="8" w:space="0" w:color="auto"/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13.15pt" w:lineRule="exact"/>
              <w:ind w:start="2pt"/>
              <w:rPr>
                <w:b/>
                <w:color w:val="FF00FF"/>
                <w:sz w:val="22"/>
              </w:rPr>
            </w:pPr>
            <w:proofErr w:type="spellStart"/>
            <w:r>
              <w:rPr>
                <w:b/>
                <w:sz w:val="22"/>
              </w:rPr>
              <w:t>w.e.f</w:t>
            </w:r>
            <w:proofErr w:type="spellEnd"/>
            <w:r>
              <w:rPr>
                <w:b/>
                <w:sz w:val="22"/>
              </w:rPr>
              <w:t xml:space="preserve"> </w:t>
            </w:r>
            <w:r>
              <w:rPr>
                <w:b/>
                <w:color w:val="FF00FF"/>
                <w:sz w:val="22"/>
              </w:rPr>
              <w:t>1-4-20</w:t>
            </w:r>
          </w:p>
        </w:tc>
        <w:tc>
          <w:tcPr>
            <w:tcW w:w="83pt" w:type="dxa"/>
            <w:tcBorders>
              <w:top w:val="single" w:sz="8" w:space="0" w:color="auto"/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13.15pt" w:lineRule="exact"/>
              <w:ind w:start="1pt"/>
              <w:rPr>
                <w:b/>
                <w:color w:val="FF00FF"/>
                <w:sz w:val="22"/>
              </w:rPr>
            </w:pPr>
            <w:proofErr w:type="spellStart"/>
            <w:r>
              <w:rPr>
                <w:b/>
                <w:sz w:val="22"/>
              </w:rPr>
              <w:t>w.e.f</w:t>
            </w:r>
            <w:proofErr w:type="spellEnd"/>
            <w:r>
              <w:rPr>
                <w:b/>
                <w:sz w:val="22"/>
              </w:rPr>
              <w:t xml:space="preserve"> </w:t>
            </w:r>
            <w:r>
              <w:rPr>
                <w:b/>
                <w:color w:val="FF00FF"/>
                <w:sz w:val="22"/>
              </w:rPr>
              <w:t>1-4-20 to</w:t>
            </w:r>
          </w:p>
        </w:tc>
        <w:tc>
          <w:tcPr>
            <w:tcW w:w="71pt" w:type="dxa"/>
            <w:tcBorders>
              <w:top w:val="single" w:sz="8" w:space="0" w:color="auto"/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13.15pt" w:lineRule="exact"/>
              <w:ind w:start="2pt"/>
              <w:rPr>
                <w:b/>
                <w:color w:val="FF00FF"/>
                <w:sz w:val="22"/>
              </w:rPr>
            </w:pPr>
            <w:proofErr w:type="spellStart"/>
            <w:r>
              <w:rPr>
                <w:b/>
                <w:sz w:val="22"/>
              </w:rPr>
              <w:t>w.e.f</w:t>
            </w:r>
            <w:proofErr w:type="spellEnd"/>
            <w:r>
              <w:rPr>
                <w:b/>
                <w:sz w:val="22"/>
              </w:rPr>
              <w:t xml:space="preserve"> </w:t>
            </w:r>
            <w:r>
              <w:rPr>
                <w:b/>
                <w:color w:val="FF00FF"/>
                <w:sz w:val="22"/>
              </w:rPr>
              <w:t>14-5-20</w:t>
            </w:r>
          </w:p>
        </w:tc>
        <w:tc>
          <w:tcPr>
            <w:tcW w:w="84pt" w:type="dxa"/>
            <w:tcBorders>
              <w:top w:val="single" w:sz="8" w:space="0" w:color="auto"/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13.15pt" w:lineRule="exact"/>
              <w:ind w:start="2pt"/>
              <w:rPr>
                <w:b/>
                <w:color w:val="FF00FF"/>
                <w:sz w:val="22"/>
              </w:rPr>
            </w:pPr>
            <w:proofErr w:type="spellStart"/>
            <w:r>
              <w:rPr>
                <w:b/>
                <w:sz w:val="22"/>
              </w:rPr>
              <w:t>w.e.f</w:t>
            </w:r>
            <w:proofErr w:type="spellEnd"/>
            <w:r>
              <w:rPr>
                <w:b/>
                <w:sz w:val="22"/>
              </w:rPr>
              <w:t xml:space="preserve"> </w:t>
            </w:r>
            <w:r>
              <w:rPr>
                <w:b/>
                <w:color w:val="FF00FF"/>
                <w:sz w:val="22"/>
              </w:rPr>
              <w:t>14-5-20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Sr.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0pt" w:lineRule="atLeast"/>
              <w:ind w:start="1pt"/>
              <w:rPr>
                <w:b/>
                <w:sz w:val="22"/>
              </w:rPr>
            </w:pPr>
            <w:r>
              <w:rPr>
                <w:b/>
                <w:sz w:val="22"/>
              </w:rPr>
              <w:t>Basic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color w:val="FF00FF"/>
                <w:sz w:val="22"/>
              </w:rPr>
            </w:pPr>
            <w:r>
              <w:rPr>
                <w:b/>
                <w:color w:val="FF00FF"/>
                <w:sz w:val="22"/>
              </w:rPr>
              <w:t>to 13-5-20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0pt" w:lineRule="atLeast"/>
              <w:ind w:start="1pt"/>
              <w:rPr>
                <w:b/>
                <w:color w:val="FF00FF"/>
                <w:sz w:val="22"/>
              </w:rPr>
            </w:pPr>
            <w:r>
              <w:rPr>
                <w:b/>
                <w:color w:val="FF00FF"/>
                <w:sz w:val="22"/>
              </w:rPr>
              <w:t>13-5-20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color w:val="FF00FF"/>
                <w:sz w:val="22"/>
              </w:rPr>
            </w:pPr>
            <w:r>
              <w:rPr>
                <w:b/>
                <w:color w:val="FF00FF"/>
                <w:sz w:val="22"/>
              </w:rPr>
              <w:t>to 31-3-21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color w:val="FF00FF"/>
                <w:sz w:val="22"/>
              </w:rPr>
            </w:pPr>
            <w:r>
              <w:rPr>
                <w:b/>
                <w:color w:val="FF00FF"/>
                <w:sz w:val="22"/>
              </w:rPr>
              <w:t>to 31-3-21</w:t>
            </w:r>
          </w:p>
        </w:tc>
      </w:tr>
      <w:tr w:rsidR="00155C9A">
        <w:trPr>
          <w:trHeight w:val="323"/>
        </w:trPr>
        <w:tc>
          <w:tcPr>
            <w:tcW w:w="37pt" w:type="dxa"/>
            <w:tcBorders>
              <w:start w:val="single" w:sz="8" w:space="0" w:color="auto"/>
              <w:bottom w:val="single" w:sz="8" w:space="0" w:color="F2F2F2"/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No.</w:t>
            </w:r>
          </w:p>
        </w:tc>
        <w:tc>
          <w:tcPr>
            <w:tcW w:w="112pt" w:type="dxa"/>
            <w:tcBorders>
              <w:bottom w:val="single" w:sz="8" w:space="0" w:color="F2F2F2"/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Nature of Payment</w:t>
            </w:r>
          </w:p>
        </w:tc>
        <w:tc>
          <w:tcPr>
            <w:tcW w:w="41pt" w:type="dxa"/>
            <w:tcBorders>
              <w:bottom w:val="single" w:sz="8" w:space="0" w:color="F2F2F2"/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0pt" w:lineRule="atLeast"/>
              <w:ind w:start="1pt"/>
              <w:rPr>
                <w:b/>
                <w:sz w:val="22"/>
              </w:rPr>
            </w:pPr>
            <w:r>
              <w:rPr>
                <w:b/>
                <w:sz w:val="22"/>
              </w:rPr>
              <w:t>Sec</w:t>
            </w:r>
          </w:p>
        </w:tc>
        <w:tc>
          <w:tcPr>
            <w:tcW w:w="63pt" w:type="dxa"/>
            <w:tcBorders>
              <w:bottom w:val="single" w:sz="8" w:space="0" w:color="F2F2F2"/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0pt" w:lineRule="atLeast"/>
              <w:ind w:start="1pt"/>
              <w:rPr>
                <w:b/>
                <w:sz w:val="22"/>
              </w:rPr>
            </w:pPr>
            <w:r>
              <w:rPr>
                <w:b/>
                <w:sz w:val="22"/>
              </w:rPr>
              <w:t>Cut Off P.A.</w:t>
            </w:r>
          </w:p>
        </w:tc>
        <w:tc>
          <w:tcPr>
            <w:tcW w:w="65pt" w:type="dxa"/>
            <w:tcBorders>
              <w:bottom w:val="single" w:sz="8" w:space="0" w:color="F2F2F2"/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>(Resident)</w:t>
            </w:r>
          </w:p>
        </w:tc>
        <w:tc>
          <w:tcPr>
            <w:tcW w:w="83pt" w:type="dxa"/>
            <w:tcBorders>
              <w:bottom w:val="single" w:sz="8" w:space="0" w:color="F2F2F2"/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0pt" w:lineRule="atLeast"/>
              <w:ind w:start="1pt"/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>(Non-Resident)</w:t>
            </w:r>
          </w:p>
        </w:tc>
        <w:tc>
          <w:tcPr>
            <w:tcW w:w="71pt" w:type="dxa"/>
            <w:tcBorders>
              <w:bottom w:val="single" w:sz="8" w:space="0" w:color="F2F2F2"/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>(Resident)</w:t>
            </w:r>
          </w:p>
        </w:tc>
        <w:tc>
          <w:tcPr>
            <w:tcW w:w="84pt" w:type="dxa"/>
            <w:tcBorders>
              <w:bottom w:val="single" w:sz="8" w:space="0" w:color="F2F2F2"/>
              <w:end w:val="single" w:sz="8" w:space="0" w:color="auto"/>
            </w:tcBorders>
            <w:shd w:val="clear" w:color="auto" w:fill="F2F2F2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color w:val="FF0000"/>
                <w:sz w:val="22"/>
              </w:rPr>
            </w:pPr>
            <w:r>
              <w:rPr>
                <w:b/>
                <w:color w:val="FF0000"/>
                <w:sz w:val="22"/>
              </w:rPr>
              <w:t>(Non-Resident)</w:t>
            </w:r>
          </w:p>
        </w:tc>
      </w:tr>
      <w:tr w:rsidR="00155C9A">
        <w:trPr>
          <w:trHeight w:val="248"/>
        </w:trPr>
        <w:tc>
          <w:tcPr>
            <w:tcW w:w="37pt" w:type="dxa"/>
            <w:tcBorders>
              <w:top w:val="single" w:sz="8" w:space="0" w:color="auto"/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jc w:val="end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12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sz w:val="22"/>
              </w:rPr>
            </w:pPr>
            <w:r>
              <w:rPr>
                <w:sz w:val="22"/>
              </w:rPr>
              <w:t>Salary Payment</w:t>
            </w:r>
          </w:p>
        </w:tc>
        <w:tc>
          <w:tcPr>
            <w:tcW w:w="41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jc w:val="center"/>
              <w:rPr>
                <w:sz w:val="22"/>
              </w:rPr>
            </w:pPr>
            <w:r>
              <w:rPr>
                <w:sz w:val="22"/>
              </w:rPr>
              <w:t>192</w:t>
            </w:r>
          </w:p>
        </w:tc>
        <w:tc>
          <w:tcPr>
            <w:tcW w:w="63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jc w:val="center"/>
              <w:rPr>
                <w:w w:val="96%"/>
                <w:sz w:val="22"/>
              </w:rPr>
            </w:pPr>
            <w:r>
              <w:rPr>
                <w:w w:val="96%"/>
                <w:sz w:val="22"/>
              </w:rPr>
              <w:t>Slab</w:t>
            </w:r>
          </w:p>
        </w:tc>
        <w:tc>
          <w:tcPr>
            <w:tcW w:w="83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32pt"/>
              <w:rPr>
                <w:sz w:val="22"/>
              </w:rPr>
            </w:pPr>
            <w:r>
              <w:rPr>
                <w:sz w:val="22"/>
              </w:rPr>
              <w:t>Slab</w:t>
            </w:r>
          </w:p>
        </w:tc>
        <w:tc>
          <w:tcPr>
            <w:tcW w:w="71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6pt"/>
              <w:rPr>
                <w:sz w:val="22"/>
              </w:rPr>
            </w:pPr>
            <w:r>
              <w:rPr>
                <w:sz w:val="22"/>
              </w:rPr>
              <w:t>Slab</w:t>
            </w:r>
          </w:p>
        </w:tc>
        <w:tc>
          <w:tcPr>
            <w:tcW w:w="84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32pt"/>
              <w:rPr>
                <w:sz w:val="22"/>
              </w:rPr>
            </w:pPr>
            <w:r>
              <w:rPr>
                <w:sz w:val="22"/>
              </w:rPr>
              <w:t>Slab</w:t>
            </w: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392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PF premature payment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from EPF A/c (i.e.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9%"/>
                <w:sz w:val="22"/>
              </w:rPr>
            </w:pPr>
            <w:r>
              <w:rPr>
                <w:w w:val="99%"/>
                <w:sz w:val="22"/>
              </w:rPr>
              <w:t>192A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50,000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10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10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before 5 Years).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392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Interest on securities -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8% Savings (Taxable)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vMerge w:val="restart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Bonds, 2003 or 7.75%</w:t>
            </w:r>
          </w:p>
        </w:tc>
        <w:tc>
          <w:tcPr>
            <w:tcW w:w="4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193</w:t>
            </w:r>
          </w:p>
        </w:tc>
        <w:tc>
          <w:tcPr>
            <w:tcW w:w="6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10,000</w:t>
            </w:r>
          </w:p>
        </w:tc>
        <w:tc>
          <w:tcPr>
            <w:tcW w:w="65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4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90"/>
        </w:trPr>
        <w:tc>
          <w:tcPr>
            <w:tcW w:w="37pt" w:type="dxa"/>
            <w:vMerge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Savings (Taxable)</w:t>
            </w:r>
          </w:p>
        </w:tc>
        <w:tc>
          <w:tcPr>
            <w:tcW w:w="4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1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Bonds, 2018 during the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financial year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683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Interest on securities -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Interest on securities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for money issued by or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on behalf of any local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vMerge w:val="restart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authority/statutory</w:t>
            </w:r>
          </w:p>
        </w:tc>
        <w:tc>
          <w:tcPr>
            <w:tcW w:w="4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193</w:t>
            </w:r>
          </w:p>
        </w:tc>
        <w:tc>
          <w:tcPr>
            <w:tcW w:w="6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5000</w:t>
            </w:r>
          </w:p>
        </w:tc>
        <w:tc>
          <w:tcPr>
            <w:tcW w:w="65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4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90"/>
        </w:trPr>
        <w:tc>
          <w:tcPr>
            <w:tcW w:w="37pt" w:type="dxa"/>
            <w:vMerge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corporation, listed</w:t>
            </w:r>
          </w:p>
        </w:tc>
        <w:tc>
          <w:tcPr>
            <w:tcW w:w="4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debentures of a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1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company(other than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proofErr w:type="spellStart"/>
            <w:r>
              <w:rPr>
                <w:sz w:val="22"/>
              </w:rPr>
              <w:t>demat</w:t>
            </w:r>
            <w:proofErr w:type="spellEnd"/>
            <w:r>
              <w:rPr>
                <w:sz w:val="22"/>
              </w:rPr>
              <w:t xml:space="preserve"> form), any other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interest on securities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459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354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sz w:val="22"/>
              </w:rPr>
            </w:pPr>
            <w:r>
              <w:rPr>
                <w:sz w:val="22"/>
              </w:rPr>
              <w:t>Dividend Payment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5000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06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9.80pt" w:lineRule="exact"/>
              <w:ind w:start="2pt"/>
              <w:rPr>
                <w:sz w:val="21"/>
              </w:rPr>
            </w:pPr>
            <w:r>
              <w:rPr>
                <w:sz w:val="21"/>
              </w:rPr>
              <w:t>(</w:t>
            </w:r>
            <w:proofErr w:type="spellStart"/>
            <w:r>
              <w:rPr>
                <w:sz w:val="21"/>
              </w:rPr>
              <w:t>w.e.f</w:t>
            </w:r>
            <w:proofErr w:type="spellEnd"/>
            <w:r>
              <w:rPr>
                <w:sz w:val="21"/>
              </w:rPr>
              <w:t>. 01.04.2020)</w:t>
            </w: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155C9A">
        <w:trPr>
          <w:trHeight w:val="249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5pt" w:lineRule="exact"/>
              <w:ind w:start="2pt"/>
              <w:rPr>
                <w:sz w:val="22"/>
              </w:rPr>
            </w:pPr>
            <w:r>
              <w:rPr>
                <w:sz w:val="22"/>
              </w:rPr>
              <w:t>Interest Payment by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Banks (Non Senior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9%"/>
                <w:sz w:val="22"/>
              </w:rPr>
            </w:pPr>
            <w:r>
              <w:rPr>
                <w:w w:val="99%"/>
                <w:sz w:val="22"/>
              </w:rPr>
              <w:t>194A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40000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Citizens)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393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Interest Payment by</w:t>
            </w:r>
          </w:p>
        </w:tc>
        <w:tc>
          <w:tcPr>
            <w:tcW w:w="4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9%"/>
                <w:sz w:val="22"/>
              </w:rPr>
            </w:pPr>
            <w:r>
              <w:rPr>
                <w:w w:val="99%"/>
                <w:sz w:val="22"/>
              </w:rPr>
              <w:t>194A</w:t>
            </w:r>
          </w:p>
        </w:tc>
        <w:tc>
          <w:tcPr>
            <w:tcW w:w="6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50000</w:t>
            </w:r>
          </w:p>
        </w:tc>
        <w:tc>
          <w:tcPr>
            <w:tcW w:w="65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4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146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Banks ( Senior Citizens)</w:t>
            </w:r>
          </w:p>
        </w:tc>
        <w:tc>
          <w:tcPr>
            <w:tcW w:w="4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5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4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155C9A">
        <w:trPr>
          <w:trHeight w:val="144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2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354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sz w:val="22"/>
              </w:rPr>
            </w:pPr>
            <w:r>
              <w:rPr>
                <w:sz w:val="22"/>
              </w:rPr>
              <w:t>Interest Payment by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9%"/>
                <w:sz w:val="22"/>
              </w:rPr>
            </w:pPr>
            <w:r>
              <w:rPr>
                <w:w w:val="99%"/>
                <w:sz w:val="22"/>
              </w:rPr>
              <w:t>194A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5,000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06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9.80pt" w:lineRule="exact"/>
              <w:ind w:start="2pt"/>
              <w:rPr>
                <w:sz w:val="21"/>
              </w:rPr>
            </w:pPr>
            <w:r>
              <w:rPr>
                <w:sz w:val="21"/>
              </w:rPr>
              <w:t>Others</w:t>
            </w: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155C9A">
        <w:trPr>
          <w:trHeight w:val="393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Payment of prize from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Wining from Lotteries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194B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10,000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30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30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by any person.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392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Payment of prize from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Wining from Horse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194B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10,000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30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30</w:t>
            </w:r>
          </w:p>
        </w:tc>
      </w:tr>
      <w:tr w:rsidR="00155C9A">
        <w:trPr>
          <w:trHeight w:val="291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Race by any person.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</w:tbl>
    <w:p w:rsidR="00155C9A" w:rsidRDefault="00155C9A">
      <w:pPr>
        <w:rPr>
          <w:rFonts w:ascii="Times New Roman" w:eastAsia="Times New Roman" w:hAnsi="Times New Roman"/>
          <w:sz w:val="14"/>
        </w:rPr>
        <w:sectPr w:rsidR="00155C9A">
          <w:pgSz w:w="595pt" w:h="841.70pt"/>
          <w:pgMar w:top="59.70pt" w:right="21.20pt" w:bottom="44pt" w:left="18pt" w:header="0pt" w:footer="0pt" w:gutter="0pt"/>
          <w:cols w:space="0pt" w:equalWidth="0">
            <w:col w:w="556pt"/>
          </w:cols>
          <w:docGrid w:linePitch="360"/>
        </w:sectPr>
      </w:pPr>
    </w:p>
    <w:tbl>
      <w:tblPr>
        <w:tblW w:w="0pt" w:type="auto"/>
        <w:tblInd w:w="0.50pt" w:type="dxa"/>
        <w:tblLayout w:type="fixed"/>
        <w:tblCellMar>
          <w:top w:w="0pt" w:type="dxa"/>
          <w:start w:w="0pt" w:type="dxa"/>
          <w:bottom w:w="0pt" w:type="dxa"/>
          <w:end w:w="0pt" w:type="dxa"/>
        </w:tblCellMar>
        <w:tblLook w:firstRow="0" w:lastRow="0" w:firstColumn="0" w:lastColumn="0" w:noHBand="0" w:noVBand="0"/>
      </w:tblPr>
      <w:tblGrid>
        <w:gridCol w:w="740"/>
        <w:gridCol w:w="2240"/>
        <w:gridCol w:w="820"/>
        <w:gridCol w:w="1260"/>
        <w:gridCol w:w="1300"/>
        <w:gridCol w:w="1660"/>
        <w:gridCol w:w="1420"/>
        <w:gridCol w:w="1680"/>
      </w:tblGrid>
      <w:tr w:rsidR="00155C9A">
        <w:trPr>
          <w:trHeight w:val="268"/>
        </w:trPr>
        <w:tc>
          <w:tcPr>
            <w:tcW w:w="37pt" w:type="dxa"/>
            <w:tcBorders>
              <w:top w:val="single" w:sz="8" w:space="0" w:color="auto"/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  <w:bookmarkStart w:id="1" w:name="page2"/>
            <w:bookmarkEnd w:id="1"/>
          </w:p>
        </w:tc>
        <w:tc>
          <w:tcPr>
            <w:tcW w:w="112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Payment to</w:t>
            </w:r>
          </w:p>
        </w:tc>
        <w:tc>
          <w:tcPr>
            <w:tcW w:w="41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3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5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3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1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b/>
                <w:sz w:val="22"/>
              </w:rPr>
              <w:t xml:space="preserve">Contractors </w:t>
            </w:r>
            <w:r>
              <w:rPr>
                <w:i/>
                <w:color w:val="FF0000"/>
                <w:sz w:val="22"/>
              </w:rPr>
              <w:t>(Single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194C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30,000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7%"/>
                <w:sz w:val="22"/>
              </w:rPr>
            </w:pPr>
            <w:r>
              <w:rPr>
                <w:w w:val="97%"/>
                <w:sz w:val="22"/>
              </w:rPr>
              <w:t>0.75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Bill) (</w:t>
            </w:r>
            <w:proofErr w:type="spellStart"/>
            <w:r>
              <w:rPr>
                <w:i/>
                <w:color w:val="FF0000"/>
                <w:sz w:val="22"/>
              </w:rPr>
              <w:t>Indvidual</w:t>
            </w:r>
            <w:proofErr w:type="spellEnd"/>
            <w:r>
              <w:rPr>
                <w:i/>
                <w:color w:val="FF0000"/>
                <w:sz w:val="22"/>
              </w:rPr>
              <w:t>/HUF)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248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Payment to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10.1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b/>
                <w:sz w:val="22"/>
              </w:rPr>
              <w:t xml:space="preserve">Contractors </w:t>
            </w:r>
            <w:r>
              <w:rPr>
                <w:i/>
                <w:color w:val="FF0000"/>
                <w:sz w:val="22"/>
              </w:rPr>
              <w:t>(Single Bill)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194C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30,000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1.5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91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(Others)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392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Payment to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vMerge w:val="restart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10.2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Contractors</w:t>
            </w:r>
          </w:p>
        </w:tc>
        <w:tc>
          <w:tcPr>
            <w:tcW w:w="4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194C</w:t>
            </w:r>
          </w:p>
        </w:tc>
        <w:tc>
          <w:tcPr>
            <w:tcW w:w="6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9%"/>
                <w:sz w:val="22"/>
              </w:rPr>
            </w:pPr>
            <w:r>
              <w:rPr>
                <w:w w:val="99%"/>
                <w:sz w:val="22"/>
              </w:rPr>
              <w:t>100,000</w:t>
            </w:r>
          </w:p>
        </w:tc>
        <w:tc>
          <w:tcPr>
            <w:tcW w:w="65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8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7%"/>
                <w:sz w:val="22"/>
              </w:rPr>
            </w:pPr>
            <w:r>
              <w:rPr>
                <w:w w:val="97%"/>
                <w:sz w:val="22"/>
              </w:rPr>
              <w:t>0.75</w:t>
            </w:r>
          </w:p>
        </w:tc>
        <w:tc>
          <w:tcPr>
            <w:tcW w:w="84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90"/>
        </w:trPr>
        <w:tc>
          <w:tcPr>
            <w:tcW w:w="37pt" w:type="dxa"/>
            <w:vMerge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i/>
                <w:color w:val="FF0000"/>
                <w:sz w:val="22"/>
              </w:rPr>
              <w:t>Aggregate Bills during</w:t>
            </w:r>
          </w:p>
        </w:tc>
        <w:tc>
          <w:tcPr>
            <w:tcW w:w="4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the Year (</w:t>
            </w:r>
            <w:proofErr w:type="spellStart"/>
            <w:r>
              <w:rPr>
                <w:i/>
                <w:color w:val="FF0000"/>
                <w:sz w:val="22"/>
              </w:rPr>
              <w:t>Ind</w:t>
            </w:r>
            <w:proofErr w:type="spellEnd"/>
            <w:r>
              <w:rPr>
                <w:i/>
                <w:color w:val="FF0000"/>
                <w:sz w:val="22"/>
              </w:rPr>
              <w:t>/HUF)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392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Payment to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vMerge w:val="restart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10.3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Contractors</w:t>
            </w:r>
          </w:p>
        </w:tc>
        <w:tc>
          <w:tcPr>
            <w:tcW w:w="4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194C</w:t>
            </w:r>
          </w:p>
        </w:tc>
        <w:tc>
          <w:tcPr>
            <w:tcW w:w="6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9%"/>
                <w:sz w:val="22"/>
              </w:rPr>
            </w:pPr>
            <w:r>
              <w:rPr>
                <w:w w:val="99%"/>
                <w:sz w:val="22"/>
              </w:rPr>
              <w:t>100,000</w:t>
            </w:r>
          </w:p>
        </w:tc>
        <w:tc>
          <w:tcPr>
            <w:tcW w:w="65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8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1.5</w:t>
            </w:r>
          </w:p>
        </w:tc>
        <w:tc>
          <w:tcPr>
            <w:tcW w:w="84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90"/>
        </w:trPr>
        <w:tc>
          <w:tcPr>
            <w:tcW w:w="37pt" w:type="dxa"/>
            <w:vMerge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(Aggregate Bills during</w:t>
            </w:r>
          </w:p>
        </w:tc>
        <w:tc>
          <w:tcPr>
            <w:tcW w:w="4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the Year (Others)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393"/>
        </w:trPr>
        <w:tc>
          <w:tcPr>
            <w:tcW w:w="37pt" w:type="dxa"/>
            <w:vMerge w:val="restart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Insurance Commission</w:t>
            </w:r>
          </w:p>
        </w:tc>
        <w:tc>
          <w:tcPr>
            <w:tcW w:w="4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7%"/>
                <w:sz w:val="22"/>
              </w:rPr>
            </w:pPr>
            <w:r>
              <w:rPr>
                <w:w w:val="97%"/>
                <w:sz w:val="22"/>
              </w:rPr>
              <w:t>194D</w:t>
            </w:r>
          </w:p>
        </w:tc>
        <w:tc>
          <w:tcPr>
            <w:tcW w:w="6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15,000</w:t>
            </w:r>
          </w:p>
        </w:tc>
        <w:tc>
          <w:tcPr>
            <w:tcW w:w="65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10</w:t>
            </w:r>
          </w:p>
        </w:tc>
        <w:tc>
          <w:tcPr>
            <w:tcW w:w="84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90"/>
        </w:trPr>
        <w:tc>
          <w:tcPr>
            <w:tcW w:w="37pt" w:type="dxa"/>
            <w:vMerge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(Company)</w:t>
            </w:r>
          </w:p>
        </w:tc>
        <w:tc>
          <w:tcPr>
            <w:tcW w:w="4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392"/>
        </w:trPr>
        <w:tc>
          <w:tcPr>
            <w:tcW w:w="37pt" w:type="dxa"/>
            <w:vMerge w:val="restart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11.1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Insurance Commission</w:t>
            </w:r>
          </w:p>
        </w:tc>
        <w:tc>
          <w:tcPr>
            <w:tcW w:w="4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7%"/>
                <w:sz w:val="22"/>
              </w:rPr>
            </w:pPr>
            <w:r>
              <w:rPr>
                <w:w w:val="97%"/>
                <w:sz w:val="22"/>
              </w:rPr>
              <w:t>194D</w:t>
            </w:r>
          </w:p>
        </w:tc>
        <w:tc>
          <w:tcPr>
            <w:tcW w:w="6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15,000</w:t>
            </w:r>
          </w:p>
        </w:tc>
        <w:tc>
          <w:tcPr>
            <w:tcW w:w="65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7%"/>
                <w:sz w:val="22"/>
              </w:rPr>
            </w:pPr>
            <w:r>
              <w:rPr>
                <w:w w:val="97%"/>
                <w:sz w:val="22"/>
              </w:rPr>
              <w:t>3.75</w:t>
            </w:r>
          </w:p>
        </w:tc>
        <w:tc>
          <w:tcPr>
            <w:tcW w:w="84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90"/>
        </w:trPr>
        <w:tc>
          <w:tcPr>
            <w:tcW w:w="37pt" w:type="dxa"/>
            <w:vMerge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(Other than Company)</w:t>
            </w:r>
          </w:p>
        </w:tc>
        <w:tc>
          <w:tcPr>
            <w:tcW w:w="4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392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Payment in respect of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vMerge w:val="restart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maturity of Life</w:t>
            </w:r>
          </w:p>
        </w:tc>
        <w:tc>
          <w:tcPr>
            <w:tcW w:w="4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194DA</w:t>
            </w:r>
          </w:p>
        </w:tc>
        <w:tc>
          <w:tcPr>
            <w:tcW w:w="6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1,00,000</w:t>
            </w:r>
          </w:p>
        </w:tc>
        <w:tc>
          <w:tcPr>
            <w:tcW w:w="65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7%"/>
                <w:sz w:val="22"/>
              </w:rPr>
            </w:pPr>
            <w:r>
              <w:rPr>
                <w:w w:val="97%"/>
                <w:sz w:val="22"/>
              </w:rPr>
              <w:t>3.75</w:t>
            </w:r>
          </w:p>
        </w:tc>
        <w:tc>
          <w:tcPr>
            <w:tcW w:w="84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90"/>
        </w:trPr>
        <w:tc>
          <w:tcPr>
            <w:tcW w:w="37pt" w:type="dxa"/>
            <w:vMerge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Insurance Policy by Life</w:t>
            </w:r>
          </w:p>
        </w:tc>
        <w:tc>
          <w:tcPr>
            <w:tcW w:w="4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Insurance Company.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9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392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Payment to NRI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399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sportsman or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194E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–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88%"/>
                <w:sz w:val="22"/>
              </w:rPr>
            </w:pPr>
            <w:r>
              <w:rPr>
                <w:w w:val="88%"/>
                <w:sz w:val="22"/>
              </w:rPr>
              <w:t>-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20</w:t>
            </w:r>
          </w:p>
        </w:tc>
      </w:tr>
      <w:tr w:rsidR="00155C9A">
        <w:trPr>
          <w:trHeight w:val="196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9.80pt" w:lineRule="exact"/>
              <w:ind w:start="2pt"/>
              <w:rPr>
                <w:sz w:val="21"/>
              </w:rPr>
            </w:pPr>
            <w:r>
              <w:rPr>
                <w:sz w:val="21"/>
              </w:rPr>
              <w:t>association by any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155C9A">
        <w:trPr>
          <w:trHeight w:val="276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person or organization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392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Payment out of deposit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under National Saving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194EE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2,500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10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Scheme (NSS)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393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Payment with respect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399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to repurchase of units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194F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–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15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20</w:t>
            </w:r>
          </w:p>
        </w:tc>
      </w:tr>
      <w:tr w:rsidR="00155C9A">
        <w:trPr>
          <w:trHeight w:val="196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9.80pt" w:lineRule="exact"/>
              <w:ind w:start="2pt"/>
              <w:rPr>
                <w:sz w:val="21"/>
              </w:rPr>
            </w:pPr>
            <w:r>
              <w:rPr>
                <w:sz w:val="21"/>
              </w:rPr>
              <w:t>by Mutual Fund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155C9A">
        <w:trPr>
          <w:trHeight w:val="276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Companies.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354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sz w:val="22"/>
              </w:rPr>
            </w:pPr>
            <w:r>
              <w:rPr>
                <w:sz w:val="22"/>
              </w:rPr>
              <w:t>Payment of Lottery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194G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15,000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7%"/>
                <w:sz w:val="22"/>
              </w:rPr>
            </w:pPr>
            <w:r>
              <w:rPr>
                <w:w w:val="97%"/>
                <w:sz w:val="22"/>
              </w:rPr>
              <w:t>3.75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155C9A">
        <w:trPr>
          <w:trHeight w:val="206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9.80pt" w:lineRule="exact"/>
              <w:ind w:start="2pt"/>
              <w:rPr>
                <w:sz w:val="21"/>
              </w:rPr>
            </w:pPr>
            <w:r>
              <w:rPr>
                <w:sz w:val="21"/>
              </w:rPr>
              <w:t>Commission</w:t>
            </w: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155C9A">
        <w:trPr>
          <w:trHeight w:val="249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5pt" w:lineRule="exact"/>
              <w:ind w:start="2pt"/>
              <w:rPr>
                <w:sz w:val="22"/>
              </w:rPr>
            </w:pPr>
            <w:r>
              <w:rPr>
                <w:sz w:val="22"/>
              </w:rPr>
              <w:t>Payment of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commission or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194H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15,000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7%"/>
                <w:sz w:val="22"/>
              </w:rPr>
            </w:pPr>
            <w:r>
              <w:rPr>
                <w:w w:val="97%"/>
                <w:sz w:val="22"/>
              </w:rPr>
              <w:t>3.75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Brokerage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392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Payment of rent on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1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land, building, furniture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7%"/>
                <w:sz w:val="22"/>
              </w:rPr>
            </w:pPr>
            <w:r>
              <w:rPr>
                <w:w w:val="97%"/>
                <w:sz w:val="22"/>
              </w:rPr>
              <w:t>194I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2,40,000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and fittings.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</w:tbl>
    <w:p w:rsidR="00155C9A" w:rsidRDefault="00155C9A">
      <w:pPr>
        <w:rPr>
          <w:rFonts w:ascii="Times New Roman" w:eastAsia="Times New Roman" w:hAnsi="Times New Roman"/>
          <w:sz w:val="14"/>
        </w:rPr>
        <w:sectPr w:rsidR="00155C9A">
          <w:pgSz w:w="595pt" w:h="841.70pt"/>
          <w:pgMar w:top="52.95pt" w:right="21.20pt" w:bottom="32.35pt" w:left="18pt" w:header="0pt" w:footer="0pt" w:gutter="0pt"/>
          <w:cols w:space="0pt" w:equalWidth="0">
            <w:col w:w="556pt"/>
          </w:cols>
          <w:docGrid w:linePitch="360"/>
        </w:sectPr>
      </w:pPr>
    </w:p>
    <w:tbl>
      <w:tblPr>
        <w:tblW w:w="0pt" w:type="auto"/>
        <w:tblInd w:w="0.50pt" w:type="dxa"/>
        <w:tblLayout w:type="fixed"/>
        <w:tblCellMar>
          <w:top w:w="0pt" w:type="dxa"/>
          <w:start w:w="0pt" w:type="dxa"/>
          <w:bottom w:w="0pt" w:type="dxa"/>
          <w:end w:w="0pt" w:type="dxa"/>
        </w:tblCellMar>
        <w:tblLook w:firstRow="0" w:lastRow="0" w:firstColumn="0" w:lastColumn="0" w:noHBand="0" w:noVBand="0"/>
      </w:tblPr>
      <w:tblGrid>
        <w:gridCol w:w="740"/>
        <w:gridCol w:w="2240"/>
        <w:gridCol w:w="820"/>
        <w:gridCol w:w="1260"/>
        <w:gridCol w:w="880"/>
        <w:gridCol w:w="420"/>
        <w:gridCol w:w="1660"/>
        <w:gridCol w:w="1000"/>
        <w:gridCol w:w="420"/>
        <w:gridCol w:w="1680"/>
      </w:tblGrid>
      <w:tr w:rsidR="00155C9A">
        <w:trPr>
          <w:trHeight w:val="268"/>
        </w:trPr>
        <w:tc>
          <w:tcPr>
            <w:tcW w:w="37pt" w:type="dxa"/>
            <w:tcBorders>
              <w:top w:val="single" w:sz="8" w:space="0" w:color="auto"/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  <w:bookmarkStart w:id="2" w:name="page3"/>
            <w:bookmarkEnd w:id="2"/>
          </w:p>
        </w:tc>
        <w:tc>
          <w:tcPr>
            <w:tcW w:w="112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Payment of rent on</w:t>
            </w:r>
          </w:p>
        </w:tc>
        <w:tc>
          <w:tcPr>
            <w:tcW w:w="41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3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4pt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3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0pt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plant, machinery or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7%"/>
                <w:sz w:val="22"/>
              </w:rPr>
            </w:pPr>
            <w:r>
              <w:rPr>
                <w:w w:val="97%"/>
                <w:sz w:val="22"/>
              </w:rPr>
              <w:t>194I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2,40,000</w:t>
            </w: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14.50p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14.50pt"/>
              <w:jc w:val="center"/>
              <w:rPr>
                <w:sz w:val="22"/>
              </w:rPr>
            </w:pPr>
            <w:r>
              <w:rPr>
                <w:sz w:val="22"/>
              </w:rPr>
              <w:t>1.5</w:t>
            </w: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proofErr w:type="spellStart"/>
            <w:r>
              <w:rPr>
                <w:sz w:val="22"/>
              </w:rPr>
              <w:t>equipments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0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248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sz w:val="22"/>
              </w:rPr>
            </w:pPr>
            <w:r>
              <w:rPr>
                <w:sz w:val="22"/>
              </w:rPr>
              <w:t>Payment made on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account of transfer of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1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immovable property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194IA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50,00,000</w:t>
            </w: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14.50pt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14.50pt"/>
              <w:jc w:val="center"/>
              <w:rPr>
                <w:sz w:val="22"/>
              </w:rPr>
            </w:pPr>
            <w:r>
              <w:rPr>
                <w:sz w:val="22"/>
              </w:rPr>
              <w:t>0.7</w:t>
            </w: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other than agriculture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land.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0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248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sz w:val="22"/>
              </w:rPr>
            </w:pPr>
            <w:r>
              <w:rPr>
                <w:sz w:val="22"/>
              </w:rPr>
              <w:t>Rent payable by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individual not covered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u/s. 194I for land,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7%"/>
                <w:sz w:val="22"/>
              </w:rPr>
            </w:pPr>
            <w:r>
              <w:rPr>
                <w:w w:val="97%"/>
                <w:sz w:val="22"/>
              </w:rPr>
              <w:t>194IB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50,000 p.m.</w:t>
            </w: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14.50p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15.50pt"/>
              <w:jc w:val="center"/>
              <w:rPr>
                <w:w w:val="97%"/>
                <w:sz w:val="22"/>
              </w:rPr>
            </w:pPr>
            <w:r>
              <w:rPr>
                <w:w w:val="97%"/>
                <w:sz w:val="22"/>
              </w:rPr>
              <w:t>3.75</w:t>
            </w: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building, furniture and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fittings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0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248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sz w:val="22"/>
              </w:rPr>
            </w:pPr>
            <w:r>
              <w:rPr>
                <w:sz w:val="22"/>
              </w:rPr>
              <w:t>Payment under Joint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55C9A">
        <w:trPr>
          <w:trHeight w:val="396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Development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194IC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14.50p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14.50pt"/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196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9.80pt" w:lineRule="exact"/>
              <w:ind w:start="2pt"/>
              <w:rPr>
                <w:sz w:val="21"/>
              </w:rPr>
            </w:pPr>
            <w:r>
              <w:rPr>
                <w:sz w:val="21"/>
              </w:rPr>
              <w:t>Agreements to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155C9A">
        <w:trPr>
          <w:trHeight w:val="279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Individual/HUF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0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392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Payment of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vMerge w:val="restart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Professional Fees other</w:t>
            </w:r>
          </w:p>
        </w:tc>
        <w:tc>
          <w:tcPr>
            <w:tcW w:w="4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194J</w:t>
            </w:r>
          </w:p>
        </w:tc>
        <w:tc>
          <w:tcPr>
            <w:tcW w:w="6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30,000</w:t>
            </w:r>
          </w:p>
        </w:tc>
        <w:tc>
          <w:tcPr>
            <w:tcW w:w="44pt" w:type="dxa"/>
            <w:vMerge w:val="restart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14.50p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0pt" w:type="dxa"/>
            <w:vMerge w:val="restart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14.50pt"/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90"/>
        </w:trPr>
        <w:tc>
          <w:tcPr>
            <w:tcW w:w="37pt" w:type="dxa"/>
            <w:vMerge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 xml:space="preserve">than call </w:t>
            </w:r>
            <w:proofErr w:type="spellStart"/>
            <w:r>
              <w:rPr>
                <w:sz w:val="22"/>
              </w:rPr>
              <w:t>centers</w:t>
            </w:r>
            <w:proofErr w:type="spellEnd"/>
            <w:r>
              <w:rPr>
                <w:sz w:val="22"/>
              </w:rPr>
              <w:t xml:space="preserve"> and</w:t>
            </w:r>
          </w:p>
        </w:tc>
        <w:tc>
          <w:tcPr>
            <w:tcW w:w="4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vMerge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vMerge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Technical Fees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4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248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sz w:val="22"/>
              </w:rPr>
            </w:pPr>
            <w:r>
              <w:rPr>
                <w:sz w:val="22"/>
              </w:rPr>
              <w:t>Payment of Technical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Fees (</w:t>
            </w:r>
            <w:proofErr w:type="spellStart"/>
            <w:r>
              <w:rPr>
                <w:sz w:val="22"/>
              </w:rPr>
              <w:t>w.e.f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194J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30,000</w:t>
            </w: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14.50p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14.50pt"/>
              <w:jc w:val="center"/>
              <w:rPr>
                <w:sz w:val="22"/>
              </w:rPr>
            </w:pPr>
            <w:r>
              <w:rPr>
                <w:sz w:val="22"/>
              </w:rPr>
              <w:t>1.5</w:t>
            </w: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01.04.2020)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0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248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sz w:val="22"/>
              </w:rPr>
            </w:pPr>
            <w:r>
              <w:rPr>
                <w:sz w:val="22"/>
              </w:rPr>
              <w:t>Payment of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55C9A">
        <w:trPr>
          <w:trHeight w:val="291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Professional Fees to call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194J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30,000</w:t>
            </w: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14.50p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14.50pt"/>
              <w:jc w:val="center"/>
              <w:rPr>
                <w:sz w:val="22"/>
              </w:rPr>
            </w:pPr>
            <w:r>
              <w:rPr>
                <w:sz w:val="22"/>
              </w:rPr>
              <w:t>1.5</w:t>
            </w: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proofErr w:type="spellStart"/>
            <w:r>
              <w:rPr>
                <w:sz w:val="22"/>
              </w:rPr>
              <w:t>centers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0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248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jc w:val="end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sz w:val="22"/>
              </w:rPr>
            </w:pPr>
            <w:r>
              <w:rPr>
                <w:sz w:val="22"/>
              </w:rPr>
              <w:t>Director's Fee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jc w:val="center"/>
              <w:rPr>
                <w:sz w:val="22"/>
              </w:rPr>
            </w:pPr>
            <w:r>
              <w:rPr>
                <w:sz w:val="22"/>
              </w:rPr>
              <w:t>194J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14.50p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14.50pt"/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4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50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392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Compensation on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vMerge w:val="restart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transfer of certain</w:t>
            </w:r>
          </w:p>
        </w:tc>
        <w:tc>
          <w:tcPr>
            <w:tcW w:w="4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194LA</w:t>
            </w:r>
          </w:p>
        </w:tc>
        <w:tc>
          <w:tcPr>
            <w:tcW w:w="6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2,50,000</w:t>
            </w:r>
          </w:p>
        </w:tc>
        <w:tc>
          <w:tcPr>
            <w:tcW w:w="44pt" w:type="dxa"/>
            <w:vMerge w:val="restart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14.50p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0pt" w:type="dxa"/>
            <w:vMerge w:val="restart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14.50pt"/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90"/>
        </w:trPr>
        <w:tc>
          <w:tcPr>
            <w:tcW w:w="37pt" w:type="dxa"/>
            <w:vMerge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immoveable property</w:t>
            </w:r>
          </w:p>
        </w:tc>
        <w:tc>
          <w:tcPr>
            <w:tcW w:w="4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vMerge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vMerge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than Agriculture Land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4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392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Payment of any income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in respect of: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1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a) Units of a Mutual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Fund as per Section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vMerge w:val="restart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10(23D)</w:t>
            </w:r>
          </w:p>
        </w:tc>
        <w:tc>
          <w:tcPr>
            <w:tcW w:w="4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1pt"/>
              <w:rPr>
                <w:sz w:val="22"/>
              </w:rPr>
            </w:pPr>
            <w:r>
              <w:rPr>
                <w:sz w:val="22"/>
              </w:rPr>
              <w:t>194K</w:t>
            </w:r>
          </w:p>
        </w:tc>
        <w:tc>
          <w:tcPr>
            <w:tcW w:w="6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5000</w:t>
            </w: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73.50pt"/>
              <w:jc w:val="end"/>
              <w:rPr>
                <w:w w:val="88%"/>
                <w:sz w:val="22"/>
              </w:rPr>
            </w:pPr>
            <w:r>
              <w:rPr>
                <w:w w:val="88%"/>
                <w:sz w:val="22"/>
              </w:rPr>
              <w:t>-</w:t>
            </w: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4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73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90"/>
        </w:trPr>
        <w:tc>
          <w:tcPr>
            <w:tcW w:w="37pt" w:type="dxa"/>
            <w:vMerge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b) The Units from the</w:t>
            </w:r>
          </w:p>
        </w:tc>
        <w:tc>
          <w:tcPr>
            <w:tcW w:w="4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administrator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c) Units from specified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company (</w:t>
            </w:r>
            <w:proofErr w:type="spellStart"/>
            <w:r>
              <w:rPr>
                <w:sz w:val="22"/>
              </w:rPr>
              <w:t>w.e.f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01.04.2020)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4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0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354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sz w:val="22"/>
              </w:rPr>
            </w:pPr>
            <w:r>
              <w:rPr>
                <w:sz w:val="22"/>
              </w:rPr>
              <w:t>Payment of certain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194N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 Crore</w:t>
            </w: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14.50p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15.50pt"/>
              <w:jc w:val="center"/>
              <w:rPr>
                <w:w w:val="89%"/>
                <w:sz w:val="22"/>
              </w:rPr>
            </w:pPr>
            <w:r>
              <w:rPr>
                <w:w w:val="89%"/>
                <w:sz w:val="22"/>
              </w:rPr>
              <w:t>2</w:t>
            </w: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155C9A">
        <w:trPr>
          <w:trHeight w:val="206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9.80pt" w:lineRule="exact"/>
              <w:ind w:start="2pt"/>
              <w:rPr>
                <w:sz w:val="21"/>
              </w:rPr>
            </w:pPr>
            <w:r>
              <w:rPr>
                <w:sz w:val="21"/>
              </w:rPr>
              <w:t>amount in cash</w:t>
            </w: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4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0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155C9A">
        <w:trPr>
          <w:trHeight w:val="356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50pt" w:lineRule="exact"/>
              <w:ind w:start="2pt"/>
              <w:rPr>
                <w:sz w:val="22"/>
              </w:rPr>
            </w:pPr>
            <w:r>
              <w:rPr>
                <w:sz w:val="22"/>
              </w:rPr>
              <w:t>Certain payments by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194M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9%"/>
                <w:sz w:val="22"/>
              </w:rPr>
            </w:pPr>
            <w:r>
              <w:rPr>
                <w:w w:val="99%"/>
                <w:sz w:val="22"/>
              </w:rPr>
              <w:t>50 Lakh</w:t>
            </w:r>
          </w:p>
        </w:tc>
        <w:tc>
          <w:tcPr>
            <w:tcW w:w="44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14.50p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50pt" w:type="dxa"/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15.50pt"/>
              <w:jc w:val="center"/>
              <w:rPr>
                <w:w w:val="97%"/>
                <w:sz w:val="22"/>
              </w:rPr>
            </w:pPr>
            <w:r>
              <w:rPr>
                <w:w w:val="97%"/>
                <w:sz w:val="22"/>
              </w:rPr>
              <w:t>3.75</w:t>
            </w:r>
          </w:p>
        </w:tc>
        <w:tc>
          <w:tcPr>
            <w:tcW w:w="2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06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9.80pt" w:lineRule="exact"/>
              <w:ind w:start="2pt"/>
              <w:rPr>
                <w:sz w:val="21"/>
              </w:rPr>
            </w:pPr>
            <w:r>
              <w:rPr>
                <w:sz w:val="21"/>
              </w:rPr>
              <w:t>Individual/HUF</w:t>
            </w: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4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0pt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</w:tbl>
    <w:p w:rsidR="00155C9A" w:rsidRDefault="00155C9A">
      <w:pPr>
        <w:rPr>
          <w:rFonts w:ascii="Times New Roman" w:eastAsia="Times New Roman" w:hAnsi="Times New Roman"/>
          <w:sz w:val="17"/>
        </w:rPr>
        <w:sectPr w:rsidR="00155C9A">
          <w:pgSz w:w="595pt" w:h="841.70pt"/>
          <w:pgMar w:top="52.95pt" w:right="21.20pt" w:bottom="46.90pt" w:left="18pt" w:header="0pt" w:footer="0pt" w:gutter="0pt"/>
          <w:cols w:space="0pt" w:equalWidth="0">
            <w:col w:w="556pt"/>
          </w:cols>
          <w:docGrid w:linePitch="360"/>
        </w:sectPr>
      </w:pPr>
    </w:p>
    <w:tbl>
      <w:tblPr>
        <w:tblW w:w="0pt" w:type="auto"/>
        <w:tblInd w:w="0.50pt" w:type="dxa"/>
        <w:tblLayout w:type="fixed"/>
        <w:tblCellMar>
          <w:top w:w="0pt" w:type="dxa"/>
          <w:start w:w="0pt" w:type="dxa"/>
          <w:bottom w:w="0pt" w:type="dxa"/>
          <w:end w:w="0pt" w:type="dxa"/>
        </w:tblCellMar>
        <w:tblLook w:firstRow="0" w:lastRow="0" w:firstColumn="0" w:lastColumn="0" w:noHBand="0" w:noVBand="0"/>
      </w:tblPr>
      <w:tblGrid>
        <w:gridCol w:w="740"/>
        <w:gridCol w:w="2240"/>
        <w:gridCol w:w="820"/>
        <w:gridCol w:w="1260"/>
        <w:gridCol w:w="1300"/>
        <w:gridCol w:w="1660"/>
        <w:gridCol w:w="1420"/>
        <w:gridCol w:w="1680"/>
      </w:tblGrid>
      <w:tr w:rsidR="00155C9A">
        <w:trPr>
          <w:trHeight w:val="412"/>
        </w:trPr>
        <w:tc>
          <w:tcPr>
            <w:tcW w:w="37pt" w:type="dxa"/>
            <w:tcBorders>
              <w:top w:val="single" w:sz="8" w:space="0" w:color="auto"/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  <w:bookmarkStart w:id="3" w:name="page4"/>
            <w:bookmarkEnd w:id="3"/>
          </w:p>
        </w:tc>
        <w:tc>
          <w:tcPr>
            <w:tcW w:w="112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Applicable for e-</w:t>
            </w:r>
          </w:p>
        </w:tc>
        <w:tc>
          <w:tcPr>
            <w:tcW w:w="41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commerce operator for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the sale of goods or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provision of services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facilitated by it through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9%"/>
                <w:sz w:val="22"/>
              </w:rPr>
            </w:pPr>
            <w:r>
              <w:rPr>
                <w:w w:val="99%"/>
                <w:sz w:val="22"/>
              </w:rPr>
              <w:t>194O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7%"/>
                <w:sz w:val="22"/>
              </w:rPr>
            </w:pPr>
            <w:r>
              <w:rPr>
                <w:w w:val="97%"/>
                <w:sz w:val="22"/>
              </w:rPr>
              <w:t>0.75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155C9A">
        <w:trPr>
          <w:trHeight w:val="291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its digital or electronic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facility or platform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(Applicable from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01.10.2020)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248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sz w:val="22"/>
              </w:rPr>
            </w:pPr>
            <w:r>
              <w:rPr>
                <w:sz w:val="22"/>
              </w:rPr>
              <w:t>Income by way of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55C9A">
        <w:trPr>
          <w:trHeight w:val="396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interest from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194LB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88%"/>
                <w:sz w:val="22"/>
              </w:rPr>
            </w:pPr>
            <w:r>
              <w:rPr>
                <w:w w:val="88%"/>
                <w:sz w:val="22"/>
              </w:rPr>
              <w:t>-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155C9A">
        <w:trPr>
          <w:trHeight w:val="196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9.80pt" w:lineRule="exact"/>
              <w:ind w:start="2pt"/>
              <w:rPr>
                <w:sz w:val="21"/>
              </w:rPr>
            </w:pPr>
            <w:r>
              <w:rPr>
                <w:sz w:val="21"/>
              </w:rPr>
              <w:t>infrastructure debt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155C9A">
        <w:trPr>
          <w:trHeight w:val="278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fund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248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Income from units of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b/>
                <w:sz w:val="22"/>
              </w:rPr>
              <w:t xml:space="preserve">business trust - </w:t>
            </w:r>
            <w:r>
              <w:rPr>
                <w:i/>
                <w:color w:val="FF0000"/>
                <w:sz w:val="22"/>
              </w:rPr>
              <w:t>-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397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33.1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interest received or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194LBA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155C9A">
        <w:trPr>
          <w:trHeight w:val="196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9.80pt" w:lineRule="exact"/>
              <w:ind w:start="2pt"/>
              <w:rPr>
                <w:i/>
                <w:color w:val="FF0000"/>
                <w:sz w:val="21"/>
              </w:rPr>
            </w:pPr>
            <w:r>
              <w:rPr>
                <w:i/>
                <w:color w:val="FF0000"/>
                <w:sz w:val="21"/>
              </w:rPr>
              <w:t>receivable from a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155C9A">
        <w:trPr>
          <w:trHeight w:val="278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special purpose vehicle;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or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248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Income from units of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b/>
                <w:sz w:val="22"/>
              </w:rPr>
              <w:t xml:space="preserve">business trust </w:t>
            </w:r>
            <w:r>
              <w:rPr>
                <w:sz w:val="22"/>
              </w:rPr>
              <w:t>-</w:t>
            </w:r>
            <w:r>
              <w:rPr>
                <w:b/>
                <w:sz w:val="22"/>
              </w:rPr>
              <w:t xml:space="preserve"> </w:t>
            </w:r>
            <w:r>
              <w:rPr>
                <w:i/>
                <w:color w:val="FF0000"/>
                <w:sz w:val="22"/>
              </w:rPr>
              <w:t>-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33.2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dividend referred to in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194LBA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10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sub-section (7) of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section 115-)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539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Distribution of rental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34.1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income to unit holders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194LBA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- Other than Company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31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392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Distribution of rental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34.2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income to unit holders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194LBA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10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- Company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392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Income in respect of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399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35.1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units of investment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194LBB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30</w:t>
            </w:r>
          </w:p>
        </w:tc>
      </w:tr>
      <w:tr w:rsidR="00155C9A">
        <w:trPr>
          <w:trHeight w:val="191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9.60pt" w:lineRule="exact"/>
              <w:ind w:start="2pt"/>
              <w:rPr>
                <w:b/>
              </w:rPr>
            </w:pPr>
            <w:r>
              <w:rPr>
                <w:b/>
              </w:rPr>
              <w:t>fund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155C9A">
        <w:trPr>
          <w:trHeight w:val="282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- Other Than Company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248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Income in respect of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55C9A">
        <w:trPr>
          <w:trHeight w:val="396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35.2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units of investment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194LBB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7.5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40</w:t>
            </w:r>
          </w:p>
        </w:tc>
      </w:tr>
      <w:tr w:rsidR="00155C9A">
        <w:trPr>
          <w:trHeight w:val="191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9.60pt" w:lineRule="exact"/>
              <w:ind w:start="2pt"/>
              <w:rPr>
                <w:b/>
              </w:rPr>
            </w:pPr>
            <w:r>
              <w:rPr>
                <w:b/>
              </w:rPr>
              <w:t>fund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155C9A">
        <w:trPr>
          <w:trHeight w:val="283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- Company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248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Income in respect of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55C9A">
        <w:trPr>
          <w:trHeight w:val="396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36.1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investment in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9%"/>
                <w:sz w:val="22"/>
              </w:rPr>
            </w:pPr>
            <w:r>
              <w:rPr>
                <w:w w:val="99%"/>
                <w:sz w:val="22"/>
              </w:rPr>
              <w:t>194LBC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9%"/>
                <w:sz w:val="22"/>
              </w:rPr>
            </w:pPr>
            <w:r>
              <w:rPr>
                <w:w w:val="99%"/>
                <w:sz w:val="22"/>
              </w:rPr>
              <w:t>18.75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30</w:t>
            </w:r>
          </w:p>
        </w:tc>
      </w:tr>
      <w:tr w:rsidR="00155C9A">
        <w:trPr>
          <w:trHeight w:val="191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9.60pt" w:lineRule="exact"/>
              <w:ind w:start="2pt"/>
              <w:rPr>
                <w:b/>
              </w:rPr>
            </w:pPr>
            <w:r>
              <w:rPr>
                <w:b/>
              </w:rPr>
              <w:t>securitization fund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155C9A">
        <w:trPr>
          <w:trHeight w:val="283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- Individual/HUF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</w:tbl>
    <w:p w:rsidR="00155C9A" w:rsidRDefault="00155C9A">
      <w:pPr>
        <w:rPr>
          <w:rFonts w:ascii="Times New Roman" w:eastAsia="Times New Roman" w:hAnsi="Times New Roman"/>
          <w:sz w:val="1"/>
        </w:rPr>
        <w:sectPr w:rsidR="00155C9A">
          <w:pgSz w:w="595pt" w:h="841.70pt"/>
          <w:pgMar w:top="52.95pt" w:right="21.20pt" w:bottom="72pt" w:left="18pt" w:header="0pt" w:footer="0pt" w:gutter="0pt"/>
          <w:cols w:space="0pt" w:equalWidth="0">
            <w:col w:w="556pt"/>
          </w:cols>
          <w:docGrid w:linePitch="360"/>
        </w:sectPr>
      </w:pPr>
    </w:p>
    <w:tbl>
      <w:tblPr>
        <w:tblW w:w="0pt" w:type="auto"/>
        <w:tblInd w:w="0.50pt" w:type="dxa"/>
        <w:tblLayout w:type="fixed"/>
        <w:tblCellMar>
          <w:top w:w="0pt" w:type="dxa"/>
          <w:start w:w="0pt" w:type="dxa"/>
          <w:bottom w:w="0pt" w:type="dxa"/>
          <w:end w:w="0pt" w:type="dxa"/>
        </w:tblCellMar>
        <w:tblLook w:firstRow="0" w:lastRow="0" w:firstColumn="0" w:lastColumn="0" w:noHBand="0" w:noVBand="0"/>
      </w:tblPr>
      <w:tblGrid>
        <w:gridCol w:w="740"/>
        <w:gridCol w:w="2240"/>
        <w:gridCol w:w="820"/>
        <w:gridCol w:w="1260"/>
        <w:gridCol w:w="1300"/>
        <w:gridCol w:w="1660"/>
        <w:gridCol w:w="1420"/>
        <w:gridCol w:w="1680"/>
      </w:tblGrid>
      <w:tr w:rsidR="00155C9A">
        <w:trPr>
          <w:trHeight w:val="268"/>
        </w:trPr>
        <w:tc>
          <w:tcPr>
            <w:tcW w:w="37pt" w:type="dxa"/>
            <w:tcBorders>
              <w:top w:val="single" w:sz="8" w:space="0" w:color="auto"/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  <w:bookmarkStart w:id="4" w:name="page5"/>
            <w:bookmarkEnd w:id="4"/>
          </w:p>
        </w:tc>
        <w:tc>
          <w:tcPr>
            <w:tcW w:w="112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Income in respect of</w:t>
            </w:r>
          </w:p>
        </w:tc>
        <w:tc>
          <w:tcPr>
            <w:tcW w:w="41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3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5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3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71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4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155C9A">
        <w:trPr>
          <w:trHeight w:val="396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36.2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investment in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9%"/>
                <w:sz w:val="22"/>
              </w:rPr>
            </w:pPr>
            <w:r>
              <w:rPr>
                <w:w w:val="99%"/>
                <w:sz w:val="22"/>
              </w:rPr>
              <w:t>194LBC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7%"/>
                <w:sz w:val="22"/>
              </w:rPr>
            </w:pPr>
            <w:r>
              <w:rPr>
                <w:w w:val="97%"/>
                <w:sz w:val="22"/>
              </w:rPr>
              <w:t>22.5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40</w:t>
            </w:r>
          </w:p>
        </w:tc>
      </w:tr>
      <w:tr w:rsidR="00155C9A">
        <w:trPr>
          <w:trHeight w:val="191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9.60pt" w:lineRule="exact"/>
              <w:ind w:start="2pt"/>
              <w:rPr>
                <w:b/>
              </w:rPr>
            </w:pPr>
            <w:r>
              <w:rPr>
                <w:b/>
              </w:rPr>
              <w:t>securitization fund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155C9A">
        <w:trPr>
          <w:trHeight w:val="283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- Company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248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Income in respect of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55C9A">
        <w:trPr>
          <w:trHeight w:val="397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36.3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investment in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9%"/>
                <w:sz w:val="22"/>
              </w:rPr>
            </w:pPr>
            <w:r>
              <w:rPr>
                <w:w w:val="99%"/>
                <w:sz w:val="22"/>
              </w:rPr>
              <w:t>194LBC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7%"/>
                <w:sz w:val="22"/>
              </w:rPr>
            </w:pPr>
            <w:r>
              <w:rPr>
                <w:w w:val="97%"/>
                <w:sz w:val="22"/>
              </w:rPr>
              <w:t>22.5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8%"/>
                <w:sz w:val="22"/>
              </w:rPr>
            </w:pPr>
            <w:r>
              <w:rPr>
                <w:w w:val="98%"/>
                <w:sz w:val="22"/>
              </w:rPr>
              <w:t>30</w:t>
            </w:r>
          </w:p>
        </w:tc>
      </w:tr>
      <w:tr w:rsidR="00155C9A">
        <w:trPr>
          <w:trHeight w:val="191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9.60pt" w:lineRule="exact"/>
              <w:ind w:start="2pt"/>
              <w:rPr>
                <w:b/>
              </w:rPr>
            </w:pPr>
            <w:r>
              <w:rPr>
                <w:b/>
              </w:rPr>
              <w:t>securitization fund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155C9A">
        <w:trPr>
          <w:trHeight w:val="283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- Other Person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392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Income by way of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interest by an Indian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specified company to a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non-resident/foreign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company on foreign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9%"/>
                <w:sz w:val="22"/>
              </w:rPr>
            </w:pPr>
            <w:r>
              <w:rPr>
                <w:w w:val="99%"/>
                <w:sz w:val="22"/>
              </w:rPr>
              <w:t>194LC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88%"/>
                <w:sz w:val="22"/>
              </w:rPr>
            </w:pPr>
            <w:r>
              <w:rPr>
                <w:w w:val="88%"/>
                <w:sz w:val="22"/>
              </w:rPr>
              <w:t>-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currency approved loan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/ long-term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1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infrastructure bonds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from outside India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539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Income by way of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interest by an Indian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specified company on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rupee denominated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bond / any long-term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396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bonds from outside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9%"/>
                <w:sz w:val="22"/>
              </w:rPr>
            </w:pPr>
            <w:r>
              <w:rPr>
                <w:w w:val="99%"/>
                <w:sz w:val="22"/>
              </w:rPr>
              <w:t>194LC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88%"/>
                <w:sz w:val="22"/>
              </w:rPr>
            </w:pPr>
            <w:r>
              <w:rPr>
                <w:w w:val="88%"/>
                <w:sz w:val="22"/>
              </w:rPr>
              <w:t>-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155C9A">
        <w:trPr>
          <w:trHeight w:val="196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9.80pt" w:lineRule="exact"/>
              <w:ind w:start="2pt"/>
              <w:rPr>
                <w:sz w:val="21"/>
              </w:rPr>
            </w:pPr>
            <w:r>
              <w:rPr>
                <w:sz w:val="21"/>
              </w:rPr>
              <w:t>India, which is listed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155C9A">
        <w:trPr>
          <w:trHeight w:val="279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only on a recognized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stock exchange located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in any International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Financial Services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Centre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31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48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sz w:val="22"/>
              </w:rPr>
            </w:pPr>
            <w:r>
              <w:rPr>
                <w:sz w:val="22"/>
              </w:rPr>
              <w:t>Interest on certain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bonds from Govt.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194LD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88%"/>
                <w:sz w:val="22"/>
              </w:rPr>
            </w:pPr>
            <w:r>
              <w:rPr>
                <w:w w:val="88%"/>
                <w:sz w:val="22"/>
              </w:rPr>
              <w:t>-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securities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248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Payment of certain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amount in cash (first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1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proviso of section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40.1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194N)if-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194N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89%"/>
                <w:sz w:val="22"/>
              </w:rPr>
            </w:pPr>
            <w:r>
              <w:rPr>
                <w:w w:val="89%"/>
                <w:sz w:val="22"/>
              </w:rPr>
              <w:t>2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- Amount is more than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 xml:space="preserve">Rs.20 lakh but up to </w:t>
            </w:r>
            <w:proofErr w:type="spellStart"/>
            <w:r>
              <w:rPr>
                <w:i/>
                <w:color w:val="FF0000"/>
                <w:sz w:val="22"/>
              </w:rPr>
              <w:t>Rs</w:t>
            </w:r>
            <w:proofErr w:type="spellEnd"/>
            <w:r>
              <w:rPr>
                <w:i/>
                <w:color w:val="FF0000"/>
                <w:sz w:val="22"/>
              </w:rPr>
              <w:t>.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1 crore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248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Payment of certain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amount in cash (first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proviso of section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40.2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194N)if-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194N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89%"/>
                <w:sz w:val="22"/>
              </w:rPr>
            </w:pPr>
            <w:r>
              <w:rPr>
                <w:w w:val="89%"/>
                <w:sz w:val="22"/>
              </w:rPr>
              <w:t>5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 xml:space="preserve">Amount exceeds </w:t>
            </w:r>
            <w:proofErr w:type="spellStart"/>
            <w:r>
              <w:rPr>
                <w:i/>
                <w:color w:val="FF0000"/>
                <w:sz w:val="22"/>
              </w:rPr>
              <w:t>Rs</w:t>
            </w:r>
            <w:proofErr w:type="spellEnd"/>
            <w:r>
              <w:rPr>
                <w:i/>
                <w:color w:val="FF0000"/>
                <w:sz w:val="22"/>
              </w:rPr>
              <w:t>. 1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1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crore (Applicable from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01.07.2020)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</w:tbl>
    <w:p w:rsidR="00155C9A" w:rsidRDefault="00155C9A">
      <w:pPr>
        <w:rPr>
          <w:rFonts w:ascii="Times New Roman" w:eastAsia="Times New Roman" w:hAnsi="Times New Roman"/>
          <w:sz w:val="1"/>
        </w:rPr>
        <w:sectPr w:rsidR="00155C9A">
          <w:pgSz w:w="595pt" w:h="841.70pt"/>
          <w:pgMar w:top="52.95pt" w:right="21.20pt" w:bottom="46.90pt" w:left="18pt" w:header="0pt" w:footer="0pt" w:gutter="0pt"/>
          <w:cols w:space="0pt" w:equalWidth="0">
            <w:col w:w="556pt"/>
          </w:cols>
          <w:docGrid w:linePitch="360"/>
        </w:sectPr>
      </w:pPr>
    </w:p>
    <w:tbl>
      <w:tblPr>
        <w:tblW w:w="0pt" w:type="auto"/>
        <w:tblInd w:w="0.50pt" w:type="dxa"/>
        <w:tblLayout w:type="fixed"/>
        <w:tblCellMar>
          <w:top w:w="0pt" w:type="dxa"/>
          <w:start w:w="0pt" w:type="dxa"/>
          <w:bottom w:w="0pt" w:type="dxa"/>
          <w:end w:w="0pt" w:type="dxa"/>
        </w:tblCellMar>
        <w:tblLook w:firstRow="0" w:lastRow="0" w:firstColumn="0" w:lastColumn="0" w:noHBand="0" w:noVBand="0"/>
      </w:tblPr>
      <w:tblGrid>
        <w:gridCol w:w="740"/>
        <w:gridCol w:w="2240"/>
        <w:gridCol w:w="820"/>
        <w:gridCol w:w="1260"/>
        <w:gridCol w:w="1300"/>
        <w:gridCol w:w="1660"/>
        <w:gridCol w:w="1420"/>
        <w:gridCol w:w="1680"/>
      </w:tblGrid>
      <w:tr w:rsidR="00155C9A">
        <w:trPr>
          <w:trHeight w:val="412"/>
        </w:trPr>
        <w:tc>
          <w:tcPr>
            <w:tcW w:w="37pt" w:type="dxa"/>
            <w:vMerge w:val="restart"/>
            <w:tcBorders>
              <w:top w:val="single" w:sz="8" w:space="0" w:color="auto"/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bookmarkStart w:id="5" w:name="page6"/>
            <w:bookmarkEnd w:id="5"/>
            <w:r>
              <w:rPr>
                <w:sz w:val="22"/>
              </w:rPr>
              <w:lastRenderedPageBreak/>
              <w:t>41</w:t>
            </w:r>
          </w:p>
        </w:tc>
        <w:tc>
          <w:tcPr>
            <w:tcW w:w="112pt" w:type="dxa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Income of Investment</w:t>
            </w:r>
          </w:p>
        </w:tc>
        <w:tc>
          <w:tcPr>
            <w:tcW w:w="41pt" w:type="dxa"/>
            <w:vMerge w:val="restart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195</w:t>
            </w:r>
          </w:p>
        </w:tc>
        <w:tc>
          <w:tcPr>
            <w:tcW w:w="63pt" w:type="dxa"/>
            <w:vMerge w:val="restart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vMerge w:val="restart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5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3pt" w:type="dxa"/>
            <w:vMerge w:val="restart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0.50pt"/>
              <w:jc w:val="end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1pt" w:type="dxa"/>
            <w:vMerge w:val="restart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8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4pt" w:type="dxa"/>
            <w:vMerge w:val="restart"/>
            <w:tcBorders>
              <w:top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1.50pt"/>
              <w:jc w:val="end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 w:rsidR="00155C9A">
        <w:trPr>
          <w:trHeight w:val="290"/>
        </w:trPr>
        <w:tc>
          <w:tcPr>
            <w:tcW w:w="37pt" w:type="dxa"/>
            <w:vMerge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made by an NRI</w:t>
            </w:r>
          </w:p>
        </w:tc>
        <w:tc>
          <w:tcPr>
            <w:tcW w:w="4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392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Long-term capital gain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42.1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4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- u/s -115E/112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195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5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0.50pt"/>
              <w:jc w:val="end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8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1.50pt"/>
              <w:jc w:val="end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155C9A">
        <w:trPr>
          <w:trHeight w:val="291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(1)©(iii)/112A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392"/>
        </w:trPr>
        <w:tc>
          <w:tcPr>
            <w:tcW w:w="37pt" w:type="dxa"/>
            <w:vMerge w:val="restart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42.2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Long-term capital gain</w:t>
            </w:r>
          </w:p>
        </w:tc>
        <w:tc>
          <w:tcPr>
            <w:tcW w:w="4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195</w:t>
            </w:r>
          </w:p>
        </w:tc>
        <w:tc>
          <w:tcPr>
            <w:tcW w:w="6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5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3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0.50pt"/>
              <w:jc w:val="end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1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8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4pt" w:type="dxa"/>
            <w:vMerge w:val="restart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1.50pt"/>
              <w:jc w:val="end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 w:rsidR="00155C9A">
        <w:trPr>
          <w:trHeight w:val="290"/>
        </w:trPr>
        <w:tc>
          <w:tcPr>
            <w:tcW w:w="37pt" w:type="dxa"/>
            <w:vMerge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color w:val="FF0000"/>
                <w:sz w:val="22"/>
              </w:rPr>
              <w:t xml:space="preserve">- </w:t>
            </w:r>
            <w:r>
              <w:rPr>
                <w:i/>
                <w:color w:val="FF0000"/>
                <w:sz w:val="22"/>
              </w:rPr>
              <w:t>Any Other Gains</w:t>
            </w:r>
          </w:p>
        </w:tc>
        <w:tc>
          <w:tcPr>
            <w:tcW w:w="4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vMerge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342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w w:val="99%"/>
                <w:sz w:val="22"/>
              </w:rPr>
            </w:pPr>
            <w:r>
              <w:rPr>
                <w:w w:val="99%"/>
                <w:sz w:val="22"/>
              </w:rPr>
              <w:t>Short-term capital gain -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195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5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0.50pt"/>
              <w:jc w:val="end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8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1.50pt"/>
              <w:jc w:val="end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</w:tr>
      <w:tr w:rsidR="00155C9A">
        <w:trPr>
          <w:trHeight w:val="196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9.80pt" w:lineRule="exact"/>
              <w:ind w:start="2pt"/>
              <w:rPr>
                <w:sz w:val="21"/>
              </w:rPr>
            </w:pPr>
            <w:r>
              <w:rPr>
                <w:sz w:val="21"/>
              </w:rPr>
              <w:t>111A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248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jc w:val="end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sz w:val="22"/>
              </w:rPr>
            </w:pPr>
            <w:r>
              <w:rPr>
                <w:sz w:val="22"/>
              </w:rPr>
              <w:t>Royalty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jc w:val="center"/>
              <w:rPr>
                <w:sz w:val="22"/>
              </w:rPr>
            </w:pPr>
            <w:r>
              <w:rPr>
                <w:sz w:val="22"/>
              </w:rPr>
              <w:t>195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end="25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end="30.50pt"/>
              <w:jc w:val="end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end="28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end="31.50pt"/>
              <w:jc w:val="end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342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sz w:val="22"/>
              </w:rPr>
            </w:pPr>
            <w:r>
              <w:rPr>
                <w:sz w:val="22"/>
              </w:rPr>
              <w:t>Fees for technical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195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5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0.50pt"/>
              <w:jc w:val="end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8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1.50pt"/>
              <w:jc w:val="end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155C9A">
        <w:trPr>
          <w:trHeight w:val="196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9.80pt" w:lineRule="exact"/>
              <w:ind w:start="2pt"/>
              <w:rPr>
                <w:sz w:val="21"/>
              </w:rPr>
            </w:pPr>
            <w:r>
              <w:rPr>
                <w:sz w:val="21"/>
              </w:rPr>
              <w:t>services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393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Interest income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payable by Govt./Indian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concern (other than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195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5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0.50pt"/>
              <w:jc w:val="end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8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1.50pt"/>
              <w:jc w:val="end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section 194LB or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194LC)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354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47.1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Any Other Income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195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5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0.50pt"/>
              <w:jc w:val="end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8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1.50pt"/>
              <w:jc w:val="end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</w:tr>
      <w:tr w:rsidR="00155C9A">
        <w:trPr>
          <w:trHeight w:val="206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9.80pt" w:lineRule="exact"/>
              <w:ind w:start="2pt"/>
              <w:rPr>
                <w:i/>
                <w:color w:val="FF0000"/>
                <w:sz w:val="21"/>
              </w:rPr>
            </w:pPr>
            <w:r>
              <w:rPr>
                <w:i/>
                <w:color w:val="FF0000"/>
                <w:sz w:val="21"/>
              </w:rPr>
              <w:t>Any other company</w:t>
            </w: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155C9A">
        <w:trPr>
          <w:trHeight w:val="355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47.2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5pt" w:lineRule="exac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Any Other Income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195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0.50pt"/>
              <w:jc w:val="end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1.50pt"/>
              <w:jc w:val="end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</w:tr>
      <w:tr w:rsidR="00155C9A">
        <w:trPr>
          <w:trHeight w:val="206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9.80pt" w:lineRule="exact"/>
              <w:ind w:start="2pt"/>
              <w:rPr>
                <w:i/>
                <w:color w:val="FF0000"/>
                <w:sz w:val="21"/>
              </w:rPr>
            </w:pPr>
            <w:r>
              <w:rPr>
                <w:i/>
                <w:color w:val="FF0000"/>
                <w:sz w:val="21"/>
              </w:rPr>
              <w:t>company</w:t>
            </w: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155C9A">
        <w:trPr>
          <w:trHeight w:val="305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b/>
                <w:sz w:val="22"/>
              </w:rPr>
            </w:pPr>
            <w:r>
              <w:rPr>
                <w:b/>
                <w:sz w:val="22"/>
              </w:rPr>
              <w:t>Income in respect –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35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1.70pt" w:lineRule="exac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of units of a Mutual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Fund specified under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clause (23D) of section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10; or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9%"/>
                <w:sz w:val="22"/>
              </w:rPr>
            </w:pPr>
            <w:r>
              <w:rPr>
                <w:w w:val="99%"/>
                <w:sz w:val="22"/>
              </w:rPr>
              <w:t>196A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5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0.50pt"/>
              <w:jc w:val="end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8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1.50pt"/>
              <w:jc w:val="end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from the specified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company referred to in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the Explanation to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clause (35) of section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i/>
                <w:color w:val="FF0000"/>
                <w:sz w:val="22"/>
              </w:rPr>
            </w:pPr>
            <w:r>
              <w:rPr>
                <w:i/>
                <w:color w:val="FF0000"/>
                <w:sz w:val="22"/>
              </w:rPr>
              <w:t>10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2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pt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155C9A">
        <w:trPr>
          <w:trHeight w:val="355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12.40pt" w:lineRule="exact"/>
              <w:ind w:start="2pt"/>
              <w:rPr>
                <w:sz w:val="22"/>
              </w:rPr>
            </w:pPr>
            <w:r>
              <w:rPr>
                <w:sz w:val="22"/>
              </w:rPr>
              <w:t>Income from units to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196B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5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0.50pt"/>
              <w:jc w:val="end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8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1.50pt"/>
              <w:jc w:val="end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155C9A">
        <w:trPr>
          <w:trHeight w:val="206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9.80pt" w:lineRule="exact"/>
              <w:ind w:start="2pt"/>
              <w:rPr>
                <w:sz w:val="21"/>
              </w:rPr>
            </w:pPr>
            <w:r>
              <w:rPr>
                <w:sz w:val="21"/>
              </w:rPr>
              <w:t>an offshore fund</w:t>
            </w: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155C9A">
        <w:trPr>
          <w:trHeight w:val="393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Income from foreign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currency bonds or GDR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196C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5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0.50pt"/>
              <w:jc w:val="end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8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1.50pt"/>
              <w:jc w:val="end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of an Indian company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8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155C9A">
        <w:trPr>
          <w:trHeight w:val="392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Income of foreign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Institutional Investors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end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from securities (not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jc w:val="center"/>
              <w:rPr>
                <w:w w:val="97%"/>
                <w:sz w:val="22"/>
              </w:rPr>
            </w:pPr>
            <w:r>
              <w:rPr>
                <w:w w:val="97%"/>
                <w:sz w:val="22"/>
              </w:rPr>
              <w:t>196D</w:t>
            </w: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4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5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0.50pt"/>
              <w:jc w:val="end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28.50pt"/>
              <w:jc w:val="end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end="31.50pt"/>
              <w:jc w:val="end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being dividend or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290"/>
        </w:trPr>
        <w:tc>
          <w:tcPr>
            <w:tcW w:w="37pt" w:type="dxa"/>
            <w:tcBorders>
              <w:start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ind w:start="2pt"/>
              <w:rPr>
                <w:sz w:val="22"/>
              </w:rPr>
            </w:pPr>
            <w:r>
              <w:rPr>
                <w:sz w:val="22"/>
              </w:rPr>
              <w:t>capital gain)</w:t>
            </w:r>
          </w:p>
        </w:tc>
        <w:tc>
          <w:tcPr>
            <w:tcW w:w="4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5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3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pt" w:type="dxa"/>
            <w:tcBorders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155C9A">
        <w:trPr>
          <w:trHeight w:val="169"/>
        </w:trPr>
        <w:tc>
          <w:tcPr>
            <w:tcW w:w="37pt" w:type="dxa"/>
            <w:tcBorders>
              <w:start w:val="single" w:sz="8" w:space="0" w:color="auto"/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2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5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3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71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4pt" w:type="dxa"/>
            <w:tcBorders>
              <w:bottom w:val="single" w:sz="8" w:space="0" w:color="auto"/>
              <w:end w:val="single" w:sz="8" w:space="0" w:color="auto"/>
            </w:tcBorders>
            <w:shd w:val="clear" w:color="auto" w:fill="auto"/>
            <w:vAlign w:val="bottom"/>
          </w:tcPr>
          <w:p w:rsidR="00155C9A" w:rsidRDefault="00155C9A">
            <w:pPr>
              <w:spacing w:line="0pt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</w:tbl>
    <w:p w:rsidR="00155C9A" w:rsidRDefault="00155C9A">
      <w:pPr>
        <w:spacing w:line="0.05pt" w:lineRule="exact"/>
        <w:rPr>
          <w:rFonts w:ascii="Times New Roman" w:eastAsia="Times New Roman" w:hAnsi="Times New Roman"/>
        </w:rPr>
      </w:pPr>
    </w:p>
    <w:sectPr w:rsidR="00155C9A">
      <w:pgSz w:w="595pt" w:h="841.70pt"/>
      <w:pgMar w:top="52.95pt" w:right="21.20pt" w:bottom="72pt" w:left="18pt" w:header="0pt" w:footer="0pt" w:gutter="0pt"/>
      <w:cols w:space="0pt" w:equalWidth="0">
        <w:col w:w="556pt"/>
      </w:cols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characterSet="iso-8859-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0C88627D"/>
    <w:multiLevelType w:val="multilevel"/>
    <w:tmpl w:val="67408D82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1" w15:restartNumberingAfterBreak="0">
    <w:nsid w:val="0EFB687A"/>
    <w:multiLevelType w:val="multilevel"/>
    <w:tmpl w:val="C95E9808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abstractNum w:abstractNumId="2" w15:restartNumberingAfterBreak="0">
    <w:nsid w:val="30684E95"/>
    <w:multiLevelType w:val="multilevel"/>
    <w:tmpl w:val="D1F40200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start"/>
      <w:pPr>
        <w:tabs>
          <w:tab w:val="num" w:pos="72pt"/>
        </w:tabs>
        <w:ind w:start="72pt" w:hanging="18pt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start"/>
      <w:pPr>
        <w:tabs>
          <w:tab w:val="num" w:pos="108pt"/>
        </w:tabs>
        <w:ind w:start="108pt" w:hanging="18pt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start"/>
      <w:pPr>
        <w:tabs>
          <w:tab w:val="num" w:pos="180pt"/>
        </w:tabs>
        <w:ind w:start="180pt" w:hanging="18pt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start"/>
      <w:pPr>
        <w:tabs>
          <w:tab w:val="num" w:pos="288pt"/>
        </w:tabs>
        <w:ind w:start="288pt" w:hanging="18pt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%"/>
  <w:proofState w:spelling="clean" w:grammar="clean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8E"/>
    <w:rsid w:val="00097FA2"/>
    <w:rsid w:val="00155C9A"/>
    <w:rsid w:val="002868AE"/>
    <w:rsid w:val="00385A37"/>
    <w:rsid w:val="00415694"/>
    <w:rsid w:val="004E7C8E"/>
    <w:rsid w:val="005917C6"/>
    <w:rsid w:val="00DB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17FE1B6"/>
  <w15:chartTrackingRefBased/>
  <w15:docId w15:val="{C2BD5C42-CE97-4F12-81C2-7AC748818A1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IN" w:eastAsia="en-I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15694"/>
    <w:pPr>
      <w:spacing w:before="5pt" w:beforeAutospacing="1" w:after="5pt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pt" w:type="dxa"/>
        <w:start w:w="0pt" w:type="dxa"/>
        <w:bottom w:w="0pt" w:type="dxa"/>
        <w:end w:w="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1569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uiPriority w:val="22"/>
    <w:qFormat/>
    <w:rsid w:val="0041569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15694"/>
    <w:pPr>
      <w:spacing w:before="5pt" w:beforeAutospacing="1" w:after="5pt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ivs>
    <w:div w:id="2333559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600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479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417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050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1</TotalTime>
  <Pages>8</Pages>
  <Words>1572</Words>
  <Characters>8963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HP</cp:lastModifiedBy>
  <cp:revision>2</cp:revision>
  <dcterms:created xsi:type="dcterms:W3CDTF">2020-07-01T09:04:00Z</dcterms:created>
  <dcterms:modified xsi:type="dcterms:W3CDTF">2020-07-01T09:04:00Z</dcterms:modified>
</cp:coreProperties>
</file>